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C1" w:rsidRPr="00207A57" w:rsidRDefault="00B114C1" w:rsidP="00207A57">
      <w:pPr>
        <w:pStyle w:val="1"/>
        <w:spacing w:line="360" w:lineRule="auto"/>
        <w:jc w:val="both"/>
        <w:rPr>
          <w:rFonts w:ascii="David" w:hAnsi="David" w:cs="David"/>
          <w:color w:val="auto"/>
          <w:sz w:val="32"/>
          <w:szCs w:val="32"/>
          <w:rtl/>
        </w:rPr>
      </w:pPr>
      <w:r w:rsidRPr="00207A57">
        <w:rPr>
          <w:rFonts w:ascii="David" w:hAnsi="David" w:cs="David"/>
          <w:color w:val="auto"/>
          <w:sz w:val="32"/>
          <w:szCs w:val="32"/>
          <w:rtl/>
        </w:rPr>
        <w:t xml:space="preserve">שו"ת נושא מס </w:t>
      </w:r>
      <w:r w:rsidR="004F68C0" w:rsidRPr="00207A57">
        <w:rPr>
          <w:rFonts w:ascii="David" w:hAnsi="David" w:cs="David"/>
          <w:color w:val="auto"/>
          <w:sz w:val="32"/>
          <w:szCs w:val="32"/>
          <w:rtl/>
        </w:rPr>
        <w:t>21</w:t>
      </w:r>
      <w:r w:rsidR="007764C1">
        <w:rPr>
          <w:rFonts w:ascii="David" w:hAnsi="David" w:cs="David" w:hint="cs"/>
          <w:color w:val="auto"/>
          <w:sz w:val="32"/>
          <w:szCs w:val="32"/>
          <w:rtl/>
        </w:rPr>
        <w:t>ב</w:t>
      </w:r>
      <w:r w:rsidR="004F68C0" w:rsidRPr="00207A57">
        <w:rPr>
          <w:rFonts w:ascii="David" w:hAnsi="David" w:cs="David"/>
          <w:color w:val="auto"/>
          <w:sz w:val="32"/>
          <w:szCs w:val="32"/>
          <w:rtl/>
        </w:rPr>
        <w:t>- יסודות חוקתיים של מדינת ישראל</w:t>
      </w:r>
      <w:r w:rsidR="007764C1">
        <w:rPr>
          <w:rFonts w:ascii="David" w:hAnsi="David" w:cs="David" w:hint="cs"/>
          <w:color w:val="auto"/>
          <w:sz w:val="32"/>
          <w:szCs w:val="32"/>
          <w:rtl/>
        </w:rPr>
        <w:t xml:space="preserve"> </w:t>
      </w:r>
    </w:p>
    <w:p w:rsidR="004F68C0" w:rsidRPr="007764C1" w:rsidRDefault="004F68C0" w:rsidP="007764C1">
      <w:pPr>
        <w:spacing w:line="360" w:lineRule="auto"/>
        <w:jc w:val="both"/>
        <w:rPr>
          <w:rFonts w:ascii="David" w:hAnsi="David" w:cs="David"/>
          <w:b/>
          <w:bCs/>
          <w:sz w:val="32"/>
          <w:szCs w:val="32"/>
          <w:u w:val="single"/>
        </w:rPr>
      </w:pPr>
      <w:bookmarkStart w:id="0" w:name="_GoBack"/>
      <w:bookmarkEnd w:id="0"/>
      <w:r w:rsidRPr="007764C1">
        <w:rPr>
          <w:rFonts w:ascii="David" w:eastAsia="Tahoma" w:hAnsi="David" w:cs="David"/>
          <w:b/>
          <w:bCs/>
          <w:kern w:val="24"/>
          <w:position w:val="1"/>
          <w:sz w:val="32"/>
          <w:szCs w:val="32"/>
          <w:highlight w:val="yellow"/>
          <w:u w:val="single"/>
          <w:rtl/>
        </w:rPr>
        <w:t>חוק השבות</w:t>
      </w:r>
      <w:r w:rsidRPr="007764C1">
        <w:rPr>
          <w:rFonts w:ascii="David" w:hAnsi="David" w:cs="David"/>
          <w:b/>
          <w:bCs/>
          <w:sz w:val="32"/>
          <w:szCs w:val="32"/>
          <w:u w:val="single"/>
          <w:rtl/>
        </w:rPr>
        <w:t xml:space="preserve"> </w:t>
      </w:r>
    </w:p>
    <w:p w:rsidR="006A73F5" w:rsidRPr="00207A57" w:rsidRDefault="006A73F5" w:rsidP="00207A57">
      <w:pPr>
        <w:pStyle w:val="a7"/>
        <w:numPr>
          <w:ilvl w:val="0"/>
          <w:numId w:val="18"/>
        </w:numPr>
        <w:spacing w:after="200" w:line="240" w:lineRule="auto"/>
        <w:jc w:val="both"/>
        <w:rPr>
          <w:rFonts w:ascii="David" w:hAnsi="David" w:cs="David"/>
          <w:b/>
          <w:bCs/>
          <w:color w:val="FF0000"/>
          <w:sz w:val="24"/>
          <w:szCs w:val="24"/>
          <w:rtl/>
        </w:rPr>
      </w:pPr>
      <w:r w:rsidRPr="00207A57">
        <w:rPr>
          <w:rFonts w:ascii="David" w:hAnsi="David" w:cs="David"/>
          <w:b/>
          <w:bCs/>
          <w:color w:val="FF0000"/>
          <w:sz w:val="24"/>
          <w:szCs w:val="24"/>
          <w:rtl/>
        </w:rPr>
        <w:t>דוגמא: הצג את חוק השבות ומה הקשר בינו לבין ההכרזה?</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קובע שכעיקרון כל יהודי זכאי לעלות לאר</w:t>
      </w:r>
      <w:r w:rsidR="00207A57">
        <w:rPr>
          <w:rFonts w:ascii="David" w:hAnsi="David" w:cs="David" w:hint="cs"/>
          <w:color w:val="FF0000"/>
          <w:sz w:val="24"/>
          <w:szCs w:val="24"/>
          <w:rtl/>
        </w:rPr>
        <w:t xml:space="preserve">ץ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מגדיר מיהו יהודי</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מי רשאי לעלות</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קובע מגבלות על עלייה</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מהווה בסיס לאזרחותם של היהודים בישראל</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מטרתו לאפשר רוב דמוגרפי של יהודים במדינת ישראל</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קשר להכרזה- מממש את רעיון המדינה היהודית</w:t>
      </w:r>
    </w:p>
    <w:p w:rsidR="006A73F5" w:rsidRPr="00207A57" w:rsidRDefault="006A73F5" w:rsidP="00207A57">
      <w:pPr>
        <w:pStyle w:val="a7"/>
        <w:numPr>
          <w:ilvl w:val="0"/>
          <w:numId w:val="18"/>
        </w:numPr>
        <w:spacing w:after="200" w:line="240" w:lineRule="auto"/>
        <w:jc w:val="both"/>
        <w:rPr>
          <w:rFonts w:ascii="David" w:hAnsi="David" w:cs="David"/>
          <w:color w:val="FF0000"/>
          <w:sz w:val="24"/>
          <w:szCs w:val="24"/>
          <w:rtl/>
        </w:rPr>
      </w:pPr>
      <w:r w:rsidRPr="00207A57">
        <w:rPr>
          <w:rFonts w:ascii="David" w:hAnsi="David" w:cs="David"/>
          <w:color w:val="FF0000"/>
          <w:sz w:val="24"/>
          <w:szCs w:val="24"/>
          <w:rtl/>
        </w:rPr>
        <w:t xml:space="preserve">בהכרזת העצמאות נכתב מדינת ישראל תהיה פתוחה לעליה יהודית ולקיבוץ גליות. איזה חוק של מדינת ישראל נועד לממש את הנאמר בציטוט והסבר את מטרת חוק זה.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חוק השבות- מטרתו לאפשר לכל יהודי לבא לישראל ולקבל אזרחות ישראלית בתוקף חוק האזרחות. </w:t>
      </w:r>
    </w:p>
    <w:p w:rsidR="006A73F5" w:rsidRPr="00207A57" w:rsidRDefault="006A73F5" w:rsidP="00207A57">
      <w:pPr>
        <w:pStyle w:val="a7"/>
        <w:numPr>
          <w:ilvl w:val="0"/>
          <w:numId w:val="18"/>
        </w:numPr>
        <w:spacing w:after="200" w:line="240" w:lineRule="auto"/>
        <w:jc w:val="both"/>
        <w:rPr>
          <w:rFonts w:ascii="David" w:hAnsi="David" w:cs="David"/>
          <w:color w:val="FF0000"/>
          <w:sz w:val="24"/>
          <w:szCs w:val="24"/>
        </w:rPr>
      </w:pPr>
      <w:r w:rsidRPr="00207A57">
        <w:rPr>
          <w:rFonts w:ascii="David" w:eastAsia="Times New Roman" w:hAnsi="David" w:cs="David"/>
          <w:color w:val="FF0000"/>
          <w:sz w:val="24"/>
          <w:szCs w:val="24"/>
          <w:rtl/>
        </w:rPr>
        <w:t xml:space="preserve">נער מאומץ שחי בפורטוגל, הגיע לגיל 18 והחל לחפש את הוריו הביולוגים, </w:t>
      </w:r>
      <w:proofErr w:type="spellStart"/>
      <w:r w:rsidRPr="00207A57">
        <w:rPr>
          <w:rFonts w:ascii="David" w:eastAsia="Times New Roman" w:hAnsi="David" w:cs="David"/>
          <w:color w:val="FF0000"/>
          <w:sz w:val="24"/>
          <w:szCs w:val="24"/>
          <w:rtl/>
        </w:rPr>
        <w:t>בפותחו</w:t>
      </w:r>
      <w:proofErr w:type="spellEnd"/>
      <w:r w:rsidRPr="00207A57">
        <w:rPr>
          <w:rFonts w:ascii="David" w:eastAsia="Times New Roman" w:hAnsi="David" w:cs="David"/>
          <w:color w:val="FF0000"/>
          <w:sz w:val="24"/>
          <w:szCs w:val="24"/>
          <w:rtl/>
        </w:rPr>
        <w:t xml:space="preserve"> את תיק האימוץ גילה כי, כי אביו היה יהודי. אף כי הוא עצמו אינו יהודי, וקיבל אזרחות. </w:t>
      </w:r>
    </w:p>
    <w:p w:rsidR="006A73F5" w:rsidRPr="00207A57" w:rsidRDefault="006A73F5" w:rsidP="00207A57">
      <w:pPr>
        <w:pStyle w:val="a7"/>
        <w:numPr>
          <w:ilvl w:val="0"/>
          <w:numId w:val="13"/>
        </w:numPr>
        <w:spacing w:after="200" w:line="240" w:lineRule="auto"/>
        <w:jc w:val="both"/>
        <w:rPr>
          <w:rFonts w:ascii="David" w:hAnsi="David" w:cs="David"/>
          <w:color w:val="FF0000"/>
          <w:sz w:val="24"/>
          <w:szCs w:val="24"/>
          <w:rtl/>
        </w:rPr>
      </w:pPr>
      <w:r w:rsidRPr="00207A57">
        <w:rPr>
          <w:rFonts w:ascii="David" w:eastAsia="Times New Roman" w:hAnsi="David" w:cs="David"/>
          <w:color w:val="FF0000"/>
          <w:sz w:val="24"/>
          <w:szCs w:val="24"/>
          <w:rtl/>
        </w:rPr>
        <w:t xml:space="preserve">ציין והצג את הדרך (תנאי) לקבלת אזרחות לפי חוק האזרחות, שלפיו קיבל.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ציין:   הדרך (תנאי) לקבלת אזרחות לפי חוק האזרחות,: קבלת אזרחות מכוח חוק השבות.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הצג: חוק האזרחות קובע שש דרכים לרכישת אזרחות ישראלית. אחת הדרכים היא קבלת אזרחות ישראלית מכוח חוק השבות: כל מי שחל עליו חוק השבות מקבל אוטומטית אזרחות ישראלית, עם בואו ארצה. חוק השבות מכיר בזכותם של יהודים, בניהם ונכדיהם של יהודים ובני זוגם, גם אם אינם יהודים, לעלות לישראל.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הסבר: בקצרה .....לפי חוק האזרחות של מדינת ישראל הוא זכאי לאזרחות כיוון שהוא נכד של יהודי, וניתן להעניק לו אזרחות מכוח השבות.</w:t>
      </w:r>
    </w:p>
    <w:p w:rsidR="00084C9B" w:rsidRPr="00207A57" w:rsidRDefault="00084C9B" w:rsidP="00207A57">
      <w:pPr>
        <w:pStyle w:val="a7"/>
        <w:numPr>
          <w:ilvl w:val="0"/>
          <w:numId w:val="18"/>
        </w:numPr>
        <w:spacing w:after="200" w:line="240" w:lineRule="auto"/>
        <w:jc w:val="both"/>
        <w:rPr>
          <w:rFonts w:ascii="David" w:hAnsi="David" w:cs="David"/>
          <w:color w:val="FF0000"/>
          <w:sz w:val="24"/>
          <w:szCs w:val="24"/>
        </w:rPr>
      </w:pPr>
      <w:r w:rsidRPr="00207A57">
        <w:rPr>
          <w:rFonts w:ascii="David" w:hAnsi="David" w:cs="David"/>
          <w:color w:val="FF0000"/>
          <w:sz w:val="24"/>
          <w:szCs w:val="24"/>
          <w:rtl/>
        </w:rPr>
        <w:t>דוגמא:</w:t>
      </w:r>
      <w:r w:rsidRPr="00207A57">
        <w:rPr>
          <w:rFonts w:ascii="David" w:hAnsi="David" w:cs="David"/>
          <w:color w:val="FF0000"/>
          <w:sz w:val="24"/>
          <w:szCs w:val="24"/>
        </w:rPr>
        <w:t xml:space="preserve"> </w:t>
      </w:r>
      <w:r w:rsidRPr="00207A57">
        <w:rPr>
          <w:rFonts w:ascii="David" w:hAnsi="David" w:cs="David"/>
          <w:color w:val="FF0000"/>
          <w:sz w:val="24"/>
          <w:szCs w:val="24"/>
          <w:rtl/>
        </w:rPr>
        <w:t xml:space="preserve">בחור שאביו יהודי ואמו נוצרייה בקש שיאפשרו לו לעלות לארץ לפי חוק השבות. הפקידה שטפלה בבקשה אמרה לבחור שאמנם הוא אינו  מתאים להגדרה " מי הוא יהודי" על פי חוק השבות, אך הוא זכאי לעלות ארצה. הסבר את התשובה על שני חלקיה. </w:t>
      </w:r>
      <w:r w:rsidRPr="00207A57">
        <w:rPr>
          <w:rFonts w:ascii="David" w:hAnsi="David" w:cs="David"/>
          <w:b/>
          <w:bCs/>
          <w:color w:val="FF0000"/>
          <w:sz w:val="24"/>
          <w:szCs w:val="24"/>
          <w:rtl/>
        </w:rPr>
        <w:t xml:space="preserve">( בגרות </w:t>
      </w:r>
    </w:p>
    <w:p w:rsidR="006A73F5" w:rsidRPr="00207A57" w:rsidRDefault="00084C9B"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הבחור, שאביו יהודי, יכול לעלות לישראל מכוח חוק השבות, הקובע כי "יהודי, בן של יהודי, נכד של יהודי, ובני זוגם יעלו לישראל ויקבלו אזרחות". למרות זאת, אין הבחור מתאים להגדרת "מי הוא יהודי " מאחר שיהודי הוא" מי שנולד לאם </w:t>
      </w:r>
      <w:proofErr w:type="spellStart"/>
      <w:r w:rsidRPr="00207A57">
        <w:rPr>
          <w:rFonts w:ascii="David" w:hAnsi="David" w:cs="David"/>
          <w:color w:val="FF0000"/>
          <w:sz w:val="24"/>
          <w:szCs w:val="24"/>
          <w:rtl/>
        </w:rPr>
        <w:t>יהודיה</w:t>
      </w:r>
      <w:proofErr w:type="spellEnd"/>
      <w:r w:rsidRPr="00207A57">
        <w:rPr>
          <w:rFonts w:ascii="David" w:hAnsi="David" w:cs="David"/>
          <w:color w:val="FF0000"/>
          <w:sz w:val="24"/>
          <w:szCs w:val="24"/>
          <w:rtl/>
        </w:rPr>
        <w:t>, או שהתגייר ואינו בן דת אחרת". תנאים אלה לא התקיימו במקרה שלפנינו.</w:t>
      </w:r>
    </w:p>
    <w:p w:rsidR="004F68C0" w:rsidRPr="00207A57" w:rsidRDefault="004F68C0"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הסבר כיצד מבטא חוק השבות את היותה של מדינת ישראל מדינה יהודית.</w:t>
      </w:r>
    </w:p>
    <w:p w:rsidR="006A73F5" w:rsidRPr="00207A57" w:rsidRDefault="006A73F5" w:rsidP="00207A57">
      <w:pPr>
        <w:numPr>
          <w:ilvl w:val="0"/>
          <w:numId w:val="11"/>
        </w:numPr>
        <w:spacing w:after="200" w:line="240" w:lineRule="auto"/>
        <w:jc w:val="both"/>
        <w:rPr>
          <w:rFonts w:ascii="David" w:hAnsi="David" w:cs="David"/>
          <w:b/>
          <w:bCs/>
          <w:sz w:val="24"/>
          <w:szCs w:val="24"/>
          <w:rtl/>
        </w:rPr>
      </w:pPr>
      <w:r w:rsidRPr="00207A57">
        <w:rPr>
          <w:rFonts w:ascii="David" w:hAnsi="David" w:cs="David"/>
          <w:sz w:val="24"/>
          <w:szCs w:val="24"/>
          <w:rtl/>
        </w:rPr>
        <w:t xml:space="preserve">בשנת 1958 עתר </w:t>
      </w:r>
      <w:proofErr w:type="spellStart"/>
      <w:r w:rsidRPr="00207A57">
        <w:rPr>
          <w:rFonts w:ascii="David" w:hAnsi="David" w:cs="David"/>
          <w:sz w:val="24"/>
          <w:szCs w:val="24"/>
          <w:rtl/>
        </w:rPr>
        <w:t>רופאייזן</w:t>
      </w:r>
      <w:proofErr w:type="spellEnd"/>
      <w:r w:rsidRPr="00207A57">
        <w:rPr>
          <w:rFonts w:ascii="David" w:hAnsi="David" w:cs="David"/>
          <w:sz w:val="24"/>
          <w:szCs w:val="24"/>
          <w:rtl/>
        </w:rPr>
        <w:t xml:space="preserve"> לבג"ץ. מה תבע </w:t>
      </w:r>
      <w:proofErr w:type="spellStart"/>
      <w:r w:rsidRPr="00207A57">
        <w:rPr>
          <w:rFonts w:ascii="David" w:hAnsi="David" w:cs="David"/>
          <w:sz w:val="24"/>
          <w:szCs w:val="24"/>
          <w:rtl/>
        </w:rPr>
        <w:t>רופאייזן</w:t>
      </w:r>
      <w:proofErr w:type="spellEnd"/>
      <w:r w:rsidRPr="00207A57">
        <w:rPr>
          <w:rFonts w:ascii="David" w:hAnsi="David" w:cs="David"/>
          <w:sz w:val="24"/>
          <w:szCs w:val="24"/>
          <w:rtl/>
        </w:rPr>
        <w:t xml:space="preserve"> בעתירתו ומדוע היא נדחתה? איזה תיקון בעניין זה הוכנס לחוק השבות ב 1970? </w:t>
      </w:r>
    </w:p>
    <w:p w:rsidR="006A73F5" w:rsidRPr="00207A57" w:rsidRDefault="006A73F5" w:rsidP="00207A57">
      <w:pPr>
        <w:pStyle w:val="a7"/>
        <w:numPr>
          <w:ilvl w:val="0"/>
          <w:numId w:val="11"/>
        </w:numPr>
        <w:spacing w:after="200" w:line="240" w:lineRule="auto"/>
        <w:jc w:val="both"/>
        <w:rPr>
          <w:rFonts w:ascii="David" w:hAnsi="David" w:cs="David"/>
          <w:sz w:val="24"/>
          <w:szCs w:val="24"/>
        </w:rPr>
      </w:pPr>
      <w:r w:rsidRPr="00207A57">
        <w:rPr>
          <w:rFonts w:ascii="David" w:hAnsi="David" w:cs="David"/>
          <w:sz w:val="24"/>
          <w:szCs w:val="24"/>
          <w:rtl/>
        </w:rPr>
        <w:t>הצג עמדה בעד ונגד קיומו של חוק השבות במדינת ישראל</w:t>
      </w:r>
    </w:p>
    <w:p w:rsidR="004F68C0"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לכל מדינה יש מדיניות הגירה ודרכים שונות להענקת אזרחות. המדיניות נקבעת בהתאם לצרכי המדינה ולערכים שלה.</w:t>
      </w:r>
      <w:r w:rsidR="00CA7257" w:rsidRPr="00207A57">
        <w:rPr>
          <w:rFonts w:ascii="David" w:hAnsi="David" w:cs="David"/>
          <w:rtl/>
        </w:rPr>
        <w:t xml:space="preserve"> </w:t>
      </w:r>
      <w:r w:rsidRPr="00207A57">
        <w:rPr>
          <w:rFonts w:ascii="David" w:hAnsi="David" w:cs="David"/>
          <w:rtl/>
        </w:rPr>
        <w:t>במדינות לאום דמוקרטיות מסוימות, וביניהן ישראל, נקבעה מדיניות הגירה המקלה על צאצאים של בני הלאום, החיים מחוץ למדינה, להפוך לאזרחיה. יש הטוענים שלמדינת לאום יש זכות לנהוג כך, ויש המתנגדים לכך.</w:t>
      </w:r>
      <w:r w:rsidR="00CA7257" w:rsidRPr="00207A57">
        <w:rPr>
          <w:rFonts w:ascii="David" w:hAnsi="David" w:cs="David"/>
          <w:rtl/>
        </w:rPr>
        <w:t xml:space="preserve"> </w:t>
      </w:r>
      <w:r w:rsidRPr="00207A57">
        <w:rPr>
          <w:rFonts w:ascii="David" w:hAnsi="David" w:cs="David"/>
          <w:rtl/>
        </w:rPr>
        <w:t>הבע</w:t>
      </w:r>
      <w:r w:rsidRPr="00207A57">
        <w:rPr>
          <w:rFonts w:ascii="David" w:hAnsi="David" w:cs="David"/>
        </w:rPr>
        <w:t> </w:t>
      </w:r>
      <w:r w:rsidRPr="00207A57">
        <w:rPr>
          <w:rFonts w:ascii="David" w:hAnsi="David" w:cs="David"/>
          <w:rtl/>
        </w:rPr>
        <w:t>את</w:t>
      </w:r>
      <w:r w:rsidRPr="00207A57">
        <w:rPr>
          <w:rFonts w:ascii="David" w:hAnsi="David" w:cs="David"/>
        </w:rPr>
        <w:t> </w:t>
      </w:r>
      <w:r w:rsidRPr="00207A57">
        <w:rPr>
          <w:rFonts w:ascii="David" w:hAnsi="David" w:cs="David"/>
          <w:rtl/>
        </w:rPr>
        <w:t>עמדתך</w:t>
      </w:r>
      <w:r w:rsidRPr="00207A57">
        <w:rPr>
          <w:rFonts w:ascii="David" w:hAnsi="David" w:cs="David"/>
        </w:rPr>
        <w:t> </w:t>
      </w:r>
      <w:r w:rsidRPr="00207A57">
        <w:rPr>
          <w:rFonts w:ascii="David" w:hAnsi="David" w:cs="David"/>
          <w:rtl/>
        </w:rPr>
        <w:t>בעניין</w:t>
      </w:r>
      <w:r w:rsidRPr="00207A57">
        <w:rPr>
          <w:rFonts w:ascii="David" w:hAnsi="David" w:cs="David"/>
        </w:rPr>
        <w:t> </w:t>
      </w:r>
      <w:r w:rsidRPr="00207A57">
        <w:rPr>
          <w:rFonts w:ascii="David" w:hAnsi="David" w:cs="David"/>
          <w:rtl/>
        </w:rPr>
        <w:t xml:space="preserve">זה. הצג </w:t>
      </w:r>
      <w:r w:rsidRPr="00207A57">
        <w:rPr>
          <w:rFonts w:ascii="David" w:hAnsi="David" w:cs="David"/>
          <w:rtl/>
        </w:rPr>
        <w:lastRenderedPageBreak/>
        <w:t>שני</w:t>
      </w:r>
      <w:r w:rsidRPr="00207A57">
        <w:rPr>
          <w:rFonts w:ascii="David" w:hAnsi="David" w:cs="David"/>
        </w:rPr>
        <w:t> </w:t>
      </w:r>
      <w:r w:rsidRPr="00207A57">
        <w:rPr>
          <w:rFonts w:ascii="David" w:hAnsi="David" w:cs="David"/>
          <w:rtl/>
        </w:rPr>
        <w:t>נימוקים</w:t>
      </w:r>
      <w:r w:rsidRPr="00207A57">
        <w:rPr>
          <w:rFonts w:ascii="David" w:hAnsi="David" w:cs="David"/>
        </w:rPr>
        <w:t> </w:t>
      </w:r>
      <w:r w:rsidRPr="00207A57">
        <w:rPr>
          <w:rFonts w:ascii="David" w:hAnsi="David" w:cs="David"/>
          <w:rtl/>
        </w:rPr>
        <w:t>המתבססים</w:t>
      </w:r>
      <w:r w:rsidRPr="00207A57">
        <w:rPr>
          <w:rFonts w:ascii="David" w:hAnsi="David" w:cs="David"/>
        </w:rPr>
        <w:t> </w:t>
      </w:r>
      <w:r w:rsidRPr="00207A57">
        <w:rPr>
          <w:rFonts w:ascii="David" w:hAnsi="David" w:cs="David"/>
          <w:rtl/>
        </w:rPr>
        <w:t>על</w:t>
      </w:r>
      <w:r w:rsidRPr="00207A57">
        <w:rPr>
          <w:rFonts w:ascii="David" w:hAnsi="David" w:cs="David"/>
        </w:rPr>
        <w:t> </w:t>
      </w:r>
      <w:r w:rsidRPr="00207A57">
        <w:rPr>
          <w:rFonts w:ascii="David" w:hAnsi="David" w:cs="David"/>
          <w:rtl/>
        </w:rPr>
        <w:t>מושגים</w:t>
      </w:r>
      <w:r w:rsidRPr="00207A57">
        <w:rPr>
          <w:rFonts w:ascii="David" w:hAnsi="David" w:cs="David"/>
        </w:rPr>
        <w:t> </w:t>
      </w:r>
      <w:r w:rsidRPr="00207A57">
        <w:rPr>
          <w:rFonts w:ascii="David" w:hAnsi="David" w:cs="David"/>
          <w:rtl/>
        </w:rPr>
        <w:t>מתחום</w:t>
      </w:r>
      <w:r w:rsidRPr="00207A57">
        <w:rPr>
          <w:rFonts w:ascii="David" w:hAnsi="David" w:cs="David"/>
        </w:rPr>
        <w:t> </w:t>
      </w:r>
      <w:r w:rsidRPr="00207A57">
        <w:rPr>
          <w:rFonts w:ascii="David" w:hAnsi="David" w:cs="David"/>
          <w:rtl/>
        </w:rPr>
        <w:t>האזרחות – 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b/>
          <w:bCs/>
          <w:rtl/>
        </w:rPr>
        <w:t>לעמדתך </w:t>
      </w:r>
      <w:r w:rsidRPr="00207A57">
        <w:rPr>
          <w:rFonts w:ascii="David" w:hAnsi="David" w:cs="David"/>
          <w:rtl/>
        </w:rPr>
        <w:t> ונימוק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rtl/>
        </w:rPr>
        <w:t>(אחר)</w:t>
      </w:r>
      <w:r w:rsidRPr="00207A57">
        <w:rPr>
          <w:rFonts w:ascii="David" w:hAnsi="David" w:cs="David"/>
        </w:rPr>
        <w:t> </w:t>
      </w:r>
      <w:r w:rsidRPr="00207A57">
        <w:rPr>
          <w:rFonts w:ascii="David" w:hAnsi="David" w:cs="David"/>
          <w:b/>
          <w:bCs/>
          <w:rtl/>
        </w:rPr>
        <w:t>לעמדה</w:t>
      </w:r>
      <w:r w:rsidRPr="00207A57">
        <w:rPr>
          <w:rFonts w:ascii="David" w:hAnsi="David" w:cs="David"/>
          <w:b/>
          <w:bCs/>
        </w:rPr>
        <w:t> </w:t>
      </w:r>
      <w:r w:rsidRPr="00207A57">
        <w:rPr>
          <w:rFonts w:ascii="David" w:hAnsi="David" w:cs="David"/>
          <w:b/>
          <w:bCs/>
          <w:rtl/>
        </w:rPr>
        <w:t>המנוגדת</w:t>
      </w:r>
      <w:r w:rsidRPr="00207A57">
        <w:rPr>
          <w:rFonts w:ascii="David" w:hAnsi="David" w:cs="David"/>
          <w:b/>
          <w:bCs/>
        </w:rPr>
        <w:t> </w:t>
      </w:r>
      <w:proofErr w:type="spellStart"/>
      <w:r w:rsidRPr="00207A57">
        <w:rPr>
          <w:rFonts w:ascii="David" w:hAnsi="David" w:cs="David"/>
          <w:rtl/>
        </w:rPr>
        <w:t>לשלך</w:t>
      </w:r>
      <w:proofErr w:type="spellEnd"/>
      <w:r w:rsidRPr="00207A57">
        <w:rPr>
          <w:rFonts w:ascii="David" w:hAnsi="David" w:cs="David"/>
          <w:rtl/>
        </w:rPr>
        <w:t>.</w:t>
      </w:r>
      <w:r w:rsidR="00CA7257" w:rsidRPr="00207A57">
        <w:rPr>
          <w:rFonts w:ascii="David" w:hAnsi="David" w:cs="David"/>
          <w:rtl/>
        </w:rPr>
        <w:t xml:space="preserve"> </w:t>
      </w:r>
      <w:r w:rsidR="00CA7257" w:rsidRPr="00207A57">
        <w:rPr>
          <w:rFonts w:ascii="David" w:hAnsi="David" w:cs="David"/>
          <w:b/>
          <w:bCs/>
          <w:shd w:val="clear" w:color="auto" w:fill="00FFFF"/>
          <w:rtl/>
        </w:rPr>
        <w:t>(שאלה 19, בגרות קיץ תשע"א)</w:t>
      </w:r>
    </w:p>
    <w:p w:rsidR="00084C9B" w:rsidRPr="00207A57" w:rsidRDefault="00084C9B" w:rsidP="00207A57">
      <w:pPr>
        <w:numPr>
          <w:ilvl w:val="0"/>
          <w:numId w:val="11"/>
        </w:numPr>
        <w:spacing w:after="200" w:line="240" w:lineRule="auto"/>
        <w:jc w:val="both"/>
        <w:rPr>
          <w:rFonts w:ascii="David" w:hAnsi="David" w:cs="David"/>
          <w:b/>
          <w:bCs/>
          <w:sz w:val="24"/>
          <w:szCs w:val="24"/>
        </w:rPr>
      </w:pPr>
      <w:proofErr w:type="spellStart"/>
      <w:r w:rsidRPr="00207A57">
        <w:rPr>
          <w:rFonts w:ascii="David" w:hAnsi="David" w:cs="David"/>
          <w:sz w:val="24"/>
          <w:szCs w:val="24"/>
          <w:rtl/>
        </w:rPr>
        <w:t>יהודיה</w:t>
      </w:r>
      <w:proofErr w:type="spellEnd"/>
      <w:r w:rsidRPr="00207A57">
        <w:rPr>
          <w:rFonts w:ascii="David" w:hAnsi="David" w:cs="David"/>
          <w:sz w:val="24"/>
          <w:szCs w:val="24"/>
          <w:rtl/>
        </w:rPr>
        <w:t xml:space="preserve"> שהתנצרה בקשה לעלות לישראל, בטענה שהיא זכאית לכך מכוח חוק השבות. שר הפני סרב לאשר את בקשתה. הסבר על מה ביסס שר הפנים את סירובו.</w:t>
      </w:r>
      <w:r w:rsidRPr="00207A57">
        <w:rPr>
          <w:rFonts w:ascii="David" w:hAnsi="David" w:cs="David"/>
          <w:sz w:val="24"/>
          <w:szCs w:val="24"/>
          <w:bdr w:val="single" w:sz="4" w:space="0" w:color="auto"/>
          <w:rtl/>
        </w:rPr>
        <w:t xml:space="preserve"> </w:t>
      </w:r>
    </w:p>
    <w:p w:rsidR="007764C1" w:rsidRDefault="007764C1" w:rsidP="007764C1">
      <w:pPr>
        <w:spacing w:line="360" w:lineRule="auto"/>
        <w:jc w:val="both"/>
        <w:rPr>
          <w:rFonts w:ascii="David" w:eastAsia="Tahoma" w:hAnsi="David" w:cs="David"/>
          <w:b/>
          <w:bCs/>
          <w:kern w:val="24"/>
          <w:position w:val="1"/>
          <w:sz w:val="32"/>
          <w:szCs w:val="32"/>
          <w:highlight w:val="yellow"/>
          <w:u w:val="single"/>
          <w:rtl/>
        </w:rPr>
      </w:pPr>
    </w:p>
    <w:p w:rsidR="004F68C0" w:rsidRPr="007764C1" w:rsidRDefault="004F68C0" w:rsidP="007764C1">
      <w:pPr>
        <w:spacing w:line="360" w:lineRule="auto"/>
        <w:jc w:val="both"/>
        <w:rPr>
          <w:rFonts w:ascii="David" w:eastAsia="Tahoma" w:hAnsi="David" w:cs="David"/>
          <w:b/>
          <w:bCs/>
          <w:kern w:val="24"/>
          <w:position w:val="1"/>
          <w:sz w:val="32"/>
          <w:szCs w:val="32"/>
          <w:highlight w:val="yellow"/>
          <w:u w:val="single"/>
          <w:rtl/>
        </w:rPr>
      </w:pPr>
      <w:r w:rsidRPr="007764C1">
        <w:rPr>
          <w:rFonts w:ascii="David" w:eastAsia="Tahoma" w:hAnsi="David" w:cs="David"/>
          <w:b/>
          <w:bCs/>
          <w:kern w:val="24"/>
          <w:position w:val="1"/>
          <w:sz w:val="32"/>
          <w:szCs w:val="32"/>
          <w:highlight w:val="yellow"/>
          <w:u w:val="single"/>
          <w:rtl/>
        </w:rPr>
        <w:t xml:space="preserve">חוק האזרחות </w:t>
      </w:r>
    </w:p>
    <w:p w:rsidR="006A73F5" w:rsidRPr="00207A57" w:rsidRDefault="00084C9B" w:rsidP="00207A57">
      <w:pPr>
        <w:pStyle w:val="a7"/>
        <w:numPr>
          <w:ilvl w:val="0"/>
          <w:numId w:val="18"/>
        </w:numPr>
        <w:spacing w:after="200" w:line="240" w:lineRule="auto"/>
        <w:ind w:left="468"/>
        <w:jc w:val="both"/>
        <w:rPr>
          <w:rFonts w:ascii="David" w:hAnsi="David" w:cs="David"/>
          <w:color w:val="FF0000"/>
          <w:sz w:val="24"/>
          <w:szCs w:val="24"/>
          <w:rtl/>
        </w:rPr>
      </w:pPr>
      <w:r w:rsidRPr="00207A57">
        <w:rPr>
          <w:rFonts w:ascii="David" w:hAnsi="David" w:cs="David"/>
          <w:color w:val="FF0000"/>
          <w:sz w:val="24"/>
          <w:szCs w:val="24"/>
          <w:rtl/>
        </w:rPr>
        <w:t>דוגמא:</w:t>
      </w:r>
      <w:r w:rsidRPr="00207A57">
        <w:rPr>
          <w:rFonts w:ascii="David" w:hAnsi="David" w:cs="David"/>
          <w:color w:val="FF0000"/>
          <w:sz w:val="24"/>
          <w:szCs w:val="24"/>
        </w:rPr>
        <w:t xml:space="preserve"> </w:t>
      </w:r>
      <w:r w:rsidR="006A73F5" w:rsidRPr="00207A57">
        <w:rPr>
          <w:rFonts w:ascii="David" w:hAnsi="David" w:cs="David"/>
          <w:color w:val="FF0000"/>
          <w:sz w:val="24"/>
          <w:szCs w:val="24"/>
          <w:rtl/>
        </w:rPr>
        <w:t>הצג את שיטת דין הדם כדרך לרכישת אזרחות, הסבר כיצד באה לידי ביטוי בהכרזת העצמאות</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האזרחות עוברת בירושה מהורים לבנים בלי קשר למקום לידה (השאלה למי נולדת). בהכרזת העצמאות נאמר כי מדינת ישראל תהיה פתוחה לעליה יהודית ולקיבוץ גלויות, המדינה מאפשרת רק ליהודים לעלות לארץ ישראל ולקבל את אזרחותה, כלומר האזרחות עוברת בירושה מהורים לבנים בלי קשר למקום הלידה.</w:t>
      </w:r>
    </w:p>
    <w:p w:rsidR="006A73F5" w:rsidRPr="00207A57" w:rsidRDefault="006A73F5" w:rsidP="00207A57">
      <w:pPr>
        <w:spacing w:after="0" w:line="240" w:lineRule="auto"/>
        <w:jc w:val="both"/>
        <w:rPr>
          <w:rFonts w:ascii="David" w:hAnsi="David" w:cs="David"/>
          <w:color w:val="FF0000"/>
          <w:sz w:val="24"/>
          <w:szCs w:val="24"/>
          <w:rtl/>
        </w:rPr>
      </w:pPr>
    </w:p>
    <w:p w:rsidR="006A73F5" w:rsidRPr="00207A57" w:rsidRDefault="00084C9B" w:rsidP="00207A57">
      <w:pPr>
        <w:pStyle w:val="a7"/>
        <w:numPr>
          <w:ilvl w:val="0"/>
          <w:numId w:val="18"/>
        </w:numPr>
        <w:tabs>
          <w:tab w:val="left" w:pos="1318"/>
        </w:tabs>
        <w:spacing w:after="200" w:line="240" w:lineRule="auto"/>
        <w:ind w:left="468" w:hanging="284"/>
        <w:jc w:val="both"/>
        <w:rPr>
          <w:rFonts w:ascii="David" w:hAnsi="David" w:cs="David"/>
          <w:b/>
          <w:bCs/>
          <w:color w:val="FF0000"/>
          <w:sz w:val="24"/>
          <w:szCs w:val="24"/>
        </w:rPr>
      </w:pPr>
      <w:r w:rsidRPr="00207A57">
        <w:rPr>
          <w:rFonts w:ascii="David" w:hAnsi="David" w:cs="David"/>
          <w:color w:val="FF0000"/>
          <w:sz w:val="24"/>
          <w:szCs w:val="24"/>
          <w:rtl/>
        </w:rPr>
        <w:t xml:space="preserve">דוגמא: </w:t>
      </w:r>
      <w:r w:rsidR="006A73F5" w:rsidRPr="00207A57">
        <w:rPr>
          <w:rFonts w:ascii="David" w:hAnsi="David" w:cs="David"/>
          <w:color w:val="FF0000"/>
          <w:sz w:val="24"/>
          <w:szCs w:val="24"/>
          <w:rtl/>
        </w:rPr>
        <w:t xml:space="preserve">חוק האזרחות של פולין קובע כי בני העם הפולני שחיים מחוץ לפולין ורוצים להגר אליה יקבלו אזרחות פולנית , והממשלה תסייע בקליטתם במדינה. ציין והסבר מהי השיטה הנהוגה בפולין לרכישת אזרחות. נמק את תשובתך. </w:t>
      </w:r>
    </w:p>
    <w:p w:rsidR="006A73F5" w:rsidRPr="00207A57" w:rsidRDefault="006A73F5" w:rsidP="00207A57">
      <w:pPr>
        <w:spacing w:after="0" w:line="240" w:lineRule="auto"/>
        <w:jc w:val="both"/>
        <w:rPr>
          <w:rFonts w:ascii="David" w:hAnsi="David" w:cs="David"/>
          <w:color w:val="FF0000"/>
          <w:sz w:val="24"/>
          <w:szCs w:val="24"/>
          <w:rtl/>
        </w:rPr>
      </w:pPr>
      <w:r w:rsidRPr="00207A57">
        <w:rPr>
          <w:rFonts w:ascii="David" w:hAnsi="David" w:cs="David"/>
          <w:color w:val="FF0000"/>
          <w:sz w:val="24"/>
          <w:szCs w:val="24"/>
          <w:rtl/>
        </w:rPr>
        <w:t>השיטה הנהוגה בפולין לרכישת אזרחות היא שיטת דין הדם. האזרחות מוענקת לבני</w:t>
      </w:r>
      <w:r w:rsidR="00207A57">
        <w:rPr>
          <w:rFonts w:ascii="David" w:hAnsi="David" w:cs="David" w:hint="cs"/>
          <w:color w:val="FF0000"/>
          <w:sz w:val="24"/>
          <w:szCs w:val="24"/>
          <w:rtl/>
        </w:rPr>
        <w:t xml:space="preserve"> </w:t>
      </w:r>
      <w:r w:rsidRPr="00207A57">
        <w:rPr>
          <w:rFonts w:ascii="David" w:hAnsi="David" w:cs="David"/>
          <w:color w:val="FF0000"/>
          <w:sz w:val="24"/>
          <w:szCs w:val="24"/>
          <w:rtl/>
        </w:rPr>
        <w:t xml:space="preserve">אותו לאום על פי קריטריונים של מוצא ועוברת מדור לדור ללא קשר למקום הלידה.  </w:t>
      </w:r>
    </w:p>
    <w:p w:rsidR="006A73F5" w:rsidRPr="00207A57" w:rsidRDefault="006A73F5" w:rsidP="00207A57">
      <w:pPr>
        <w:spacing w:after="0" w:line="240" w:lineRule="auto"/>
        <w:jc w:val="both"/>
        <w:rPr>
          <w:rFonts w:ascii="David" w:hAnsi="David" w:cs="David"/>
          <w:color w:val="FF0000"/>
          <w:sz w:val="24"/>
          <w:szCs w:val="24"/>
        </w:rPr>
      </w:pPr>
    </w:p>
    <w:p w:rsidR="006A73F5" w:rsidRPr="00207A57" w:rsidRDefault="006A73F5" w:rsidP="00207A57">
      <w:pPr>
        <w:pStyle w:val="a7"/>
        <w:numPr>
          <w:ilvl w:val="0"/>
          <w:numId w:val="18"/>
        </w:numPr>
        <w:tabs>
          <w:tab w:val="left" w:pos="1318"/>
        </w:tabs>
        <w:spacing w:after="200" w:line="240" w:lineRule="auto"/>
        <w:ind w:left="468" w:hanging="284"/>
        <w:jc w:val="both"/>
        <w:rPr>
          <w:rFonts w:ascii="David" w:hAnsi="David" w:cs="David"/>
          <w:b/>
          <w:bCs/>
          <w:color w:val="FF0000"/>
          <w:sz w:val="24"/>
          <w:szCs w:val="24"/>
          <w:rtl/>
        </w:rPr>
      </w:pPr>
      <w:r w:rsidRPr="00207A57">
        <w:rPr>
          <w:rFonts w:ascii="David" w:hAnsi="David" w:cs="David"/>
          <w:color w:val="FF0000"/>
          <w:sz w:val="24"/>
          <w:szCs w:val="24"/>
          <w:rtl/>
        </w:rPr>
        <w:t xml:space="preserve">הצג שתי שיטות המקובלות בעולם לרכישת אזרחות : דין הדם ודין הקרקע. הסבר מדוע מדינות לאום אתניות מעדיפות את שיטת דין הדם. </w:t>
      </w:r>
      <w:r w:rsidRPr="00207A57">
        <w:rPr>
          <w:rFonts w:ascii="David" w:hAnsi="David" w:cs="David"/>
          <w:b/>
          <w:bCs/>
          <w:color w:val="FF0000"/>
          <w:sz w:val="24"/>
          <w:szCs w:val="24"/>
          <w:rtl/>
        </w:rPr>
        <w:t xml:space="preserve"> א</w:t>
      </w:r>
      <w:r w:rsidRPr="00207A57">
        <w:rPr>
          <w:rFonts w:ascii="David" w:hAnsi="David" w:cs="David"/>
          <w:color w:val="FF0000"/>
          <w:sz w:val="24"/>
          <w:szCs w:val="24"/>
          <w:rtl/>
        </w:rPr>
        <w:t>. שיטת דין הדם.</w:t>
      </w:r>
      <w:r w:rsidRPr="00207A57">
        <w:rPr>
          <w:rFonts w:ascii="David" w:hAnsi="David" w:cs="David"/>
          <w:b/>
          <w:bCs/>
          <w:color w:val="FF0000"/>
          <w:sz w:val="24"/>
          <w:szCs w:val="24"/>
          <w:rtl/>
        </w:rPr>
        <w:t xml:space="preserve"> </w:t>
      </w:r>
      <w:r w:rsidRPr="00207A57">
        <w:rPr>
          <w:rFonts w:ascii="David" w:hAnsi="David" w:cs="David"/>
          <w:color w:val="FF0000"/>
          <w:sz w:val="24"/>
          <w:szCs w:val="24"/>
          <w:rtl/>
        </w:rPr>
        <w:t xml:space="preserve">ב. שיטת דין הקרקע.                                                                                                             </w:t>
      </w:r>
      <w:r w:rsidRPr="00207A57">
        <w:rPr>
          <w:rFonts w:ascii="David" w:hAnsi="David" w:cs="David"/>
          <w:color w:val="FF0000"/>
          <w:sz w:val="24"/>
          <w:szCs w:val="24"/>
          <w:u w:val="single"/>
          <w:rtl/>
        </w:rPr>
        <w:t>שיטת דין הדם,</w:t>
      </w:r>
      <w:r w:rsidRPr="00207A57">
        <w:rPr>
          <w:rFonts w:ascii="David" w:hAnsi="David" w:cs="David"/>
          <w:color w:val="FF0000"/>
          <w:sz w:val="24"/>
          <w:szCs w:val="24"/>
          <w:rtl/>
        </w:rPr>
        <w:t xml:space="preserve"> מתייחסת למוצאו של אדם, להוריו. על פי שיטה זו האזרחות עוברת  מהורים לבנים ללא קשר למקום הלידה.</w:t>
      </w:r>
      <w:r w:rsidR="00084C9B" w:rsidRPr="00207A57">
        <w:rPr>
          <w:rFonts w:ascii="David" w:hAnsi="David" w:cs="David"/>
          <w:color w:val="FF0000"/>
          <w:sz w:val="24"/>
          <w:szCs w:val="24"/>
          <w:rtl/>
        </w:rPr>
        <w:t xml:space="preserve"> </w:t>
      </w:r>
      <w:r w:rsidRPr="00207A57">
        <w:rPr>
          <w:rFonts w:ascii="David" w:hAnsi="David" w:cs="David"/>
          <w:color w:val="FF0000"/>
          <w:sz w:val="24"/>
          <w:szCs w:val="24"/>
          <w:rtl/>
        </w:rPr>
        <w:t xml:space="preserve">עלפי שיטת </w:t>
      </w:r>
      <w:r w:rsidRPr="00207A57">
        <w:rPr>
          <w:rFonts w:ascii="David" w:hAnsi="David" w:cs="David"/>
          <w:color w:val="FF0000"/>
          <w:sz w:val="24"/>
          <w:szCs w:val="24"/>
          <w:u w:val="single"/>
          <w:rtl/>
        </w:rPr>
        <w:t>דין הקרקע</w:t>
      </w:r>
      <w:r w:rsidRPr="00207A57">
        <w:rPr>
          <w:rFonts w:ascii="David" w:hAnsi="David" w:cs="David"/>
          <w:color w:val="FF0000"/>
          <w:sz w:val="24"/>
          <w:szCs w:val="24"/>
          <w:rtl/>
        </w:rPr>
        <w:t>, אזרחות נרכשת על ידי לידה בטריטוריה מסוימת ללא קשר לזהות האתנית. כל מי שנולד בארה"ב הופך לאזרח אמריקאי.                                                                                                 רוב המדינות משלבות בצורה זו או אחרת בין שתי השיטות. בישראל, שהיא מדינת הלאום היהודי, יש העדפה ברורה של דין הדם, ורק במקרים מסוימים מכירה ישראל בדין הקרקע, כל זאת, בשל הדגשתה את הלאומיות האתנית. מדינות לאום אתניות מעדיפות את שיטת דין הדם, משום שהן מבוססות מעצם הגדרתן על רכיבים כמו זהות לאומית-אתנית, דת ומורשת עתיקה, הקושרים את כל חלקי העם למעין קהילה אתנית אורגנית. החלת דין הקרקע  במדינת לאום אתנית תפגע ביסודות  האתניים של המדינה.  מדינת ישראל משלבת בין שתי הגישות: דין הדם בא לידי ביטוי בחוק השבות. שיטת דין הקרקע באה לידי ביטוי בחוק האזרחות.</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הסבר כיצד מבטא חוק האזרחות את היותה של מדינת ישראל מדינה יהודית.</w:t>
      </w:r>
    </w:p>
    <w:p w:rsidR="006A73F5" w:rsidRPr="00207A57" w:rsidRDefault="006A73F5" w:rsidP="00207A57">
      <w:pPr>
        <w:pStyle w:val="NormalWeb"/>
        <w:numPr>
          <w:ilvl w:val="0"/>
          <w:numId w:val="11"/>
        </w:numPr>
        <w:shd w:val="clear" w:color="auto" w:fill="FFFFFF"/>
        <w:bidi/>
        <w:spacing w:line="360" w:lineRule="auto"/>
        <w:jc w:val="both"/>
        <w:rPr>
          <w:rFonts w:ascii="David" w:eastAsia="Calibri" w:hAnsi="David" w:cs="David"/>
        </w:rPr>
      </w:pPr>
      <w:r w:rsidRPr="00207A57">
        <w:rPr>
          <w:rFonts w:ascii="David" w:hAnsi="David" w:cs="David"/>
          <w:rtl/>
        </w:rPr>
        <w:t xml:space="preserve">ציין והסבר </w:t>
      </w:r>
      <w:r w:rsidRPr="00207A57">
        <w:rPr>
          <w:rFonts w:ascii="David" w:hAnsi="David" w:cs="David"/>
          <w:b/>
          <w:bCs/>
          <w:rtl/>
        </w:rPr>
        <w:t>שתי דרכים לקבלת אזרחות במדינת ישראל</w:t>
      </w:r>
      <w:r w:rsidRPr="00207A57">
        <w:rPr>
          <w:rFonts w:ascii="David" w:hAnsi="David" w:cs="David"/>
          <w:rtl/>
        </w:rPr>
        <w:t xml:space="preserve"> </w:t>
      </w:r>
      <w:r w:rsidR="00207A57" w:rsidRPr="00207A57">
        <w:rPr>
          <w:rFonts w:ascii="David" w:eastAsia="Calibri" w:hAnsi="David" w:cs="David"/>
          <w:rtl/>
        </w:rPr>
        <w:t xml:space="preserve">/ </w:t>
      </w:r>
      <w:r w:rsidRPr="00207A57">
        <w:rPr>
          <w:rFonts w:ascii="David" w:hAnsi="David" w:cs="David"/>
          <w:rtl/>
        </w:rPr>
        <w:t>דרגת קושי גבוהה יותר:</w:t>
      </w:r>
      <w:r w:rsidRPr="00207A57">
        <w:rPr>
          <w:rFonts w:ascii="David" w:hAnsi="David" w:cs="David"/>
        </w:rPr>
        <w:t xml:space="preserve"> </w:t>
      </w:r>
      <w:r w:rsidRPr="00207A57">
        <w:rPr>
          <w:rFonts w:ascii="David" w:eastAsia="Calibri" w:hAnsi="David" w:cs="David"/>
          <w:rtl/>
        </w:rPr>
        <w:t xml:space="preserve">שני תנאים לזכאות לאזרחות ליהודים ושני תנאים לזכאות לאזרחות ללא יהודים. הסבר כיצד מבטאים תנאים אלה את העובדה שישראל היא מדינת לאום. </w:t>
      </w:r>
    </w:p>
    <w:p w:rsidR="006A73F5"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נוהל חדש של משרד הפנים קובע כי עובדת זרה חוקית, שהרתה וילדה בישראל, תצטרך לבחור בין התינוק ובין בן זוגה. אם היא תחליט להישאר בארץ עם הילד – בן זוגה יגורש. אם תרצה שבן זוגה יישאר בארץ עם הילד – היא תיאלץ לעזוב.</w:t>
      </w:r>
      <w:r w:rsidR="00CA7257" w:rsidRPr="00207A57">
        <w:rPr>
          <w:rFonts w:ascii="David" w:hAnsi="David" w:cs="David"/>
          <w:rtl/>
        </w:rPr>
        <w:t xml:space="preserve"> </w:t>
      </w:r>
      <w:r w:rsidRPr="00207A57">
        <w:rPr>
          <w:rFonts w:ascii="David" w:hAnsi="David" w:cs="David"/>
          <w:rtl/>
        </w:rPr>
        <w:t>הנוהל החדש מעורר מחלוקת, במיוחד אחרי שלפני פחות משנה פסל בג"צ נוהל דומה שקבע כי עובדת זרה שהרתה וילדה בישראל – תגורש. בג"צ קבע אז כי הנוהל אינו סביר ואינו חוקתי: "נוהל העובדת הזרה אינו מאזן בצורה ראויה בין יעדיה של המדיניות הממשלתית (חשובים ככל שיהיו) לבין זכויות הפרט בישראל".</w:t>
      </w:r>
    </w:p>
    <w:p w:rsidR="00084C9B" w:rsidRPr="00207A57" w:rsidRDefault="004F68C0" w:rsidP="00207A57">
      <w:pPr>
        <w:pStyle w:val="NormalWeb"/>
        <w:numPr>
          <w:ilvl w:val="0"/>
          <w:numId w:val="13"/>
        </w:numPr>
        <w:shd w:val="clear" w:color="auto" w:fill="FFFFFF"/>
        <w:bidi/>
        <w:spacing w:line="360" w:lineRule="auto"/>
        <w:jc w:val="both"/>
        <w:rPr>
          <w:rFonts w:ascii="David" w:hAnsi="David" w:cs="David"/>
        </w:rPr>
      </w:pPr>
      <w:r w:rsidRPr="00207A57">
        <w:rPr>
          <w:rFonts w:ascii="David" w:hAnsi="David" w:cs="David"/>
          <w:rtl/>
        </w:rPr>
        <w:t>ציין והצג </w:t>
      </w:r>
      <w:r w:rsidRPr="00207A57">
        <w:rPr>
          <w:rFonts w:ascii="David" w:hAnsi="David" w:cs="David"/>
          <w:b/>
          <w:bCs/>
          <w:rtl/>
        </w:rPr>
        <w:t>תנאי אחד לקבלת אזרחות בישראל</w:t>
      </w:r>
      <w:r w:rsidRPr="00207A57">
        <w:rPr>
          <w:rFonts w:ascii="David" w:hAnsi="David" w:cs="David"/>
          <w:rtl/>
        </w:rPr>
        <w:t> שאותו </w:t>
      </w:r>
      <w:r w:rsidRPr="00207A57">
        <w:rPr>
          <w:rFonts w:ascii="David" w:hAnsi="David" w:cs="David"/>
          <w:u w:val="single"/>
          <w:rtl/>
        </w:rPr>
        <w:t>יכולות</w:t>
      </w:r>
      <w:r w:rsidRPr="00207A57">
        <w:rPr>
          <w:rFonts w:ascii="David" w:hAnsi="David" w:cs="David"/>
          <w:rtl/>
        </w:rPr>
        <w:t> העובדות הזרות לנצל.</w:t>
      </w:r>
      <w:r w:rsidR="006A73F5" w:rsidRPr="00207A57">
        <w:rPr>
          <w:rFonts w:ascii="David" w:hAnsi="David" w:cs="David"/>
          <w:rtl/>
        </w:rPr>
        <w:t xml:space="preserve"> </w:t>
      </w:r>
      <w:r w:rsidRPr="00207A57">
        <w:rPr>
          <w:rFonts w:ascii="David" w:hAnsi="David" w:cs="David"/>
          <w:rtl/>
        </w:rPr>
        <w:t>הסבר כיצד תנאי זה בא לידי ביטוי בקטע.</w:t>
      </w:r>
    </w:p>
    <w:p w:rsidR="006A73F5" w:rsidRPr="00207A57" w:rsidRDefault="006A73F5" w:rsidP="00207A57">
      <w:pPr>
        <w:pStyle w:val="a7"/>
        <w:numPr>
          <w:ilvl w:val="0"/>
          <w:numId w:val="11"/>
        </w:numPr>
        <w:spacing w:after="200" w:line="240" w:lineRule="auto"/>
        <w:jc w:val="both"/>
        <w:rPr>
          <w:rFonts w:ascii="David" w:hAnsi="David" w:cs="David"/>
          <w:sz w:val="24"/>
          <w:szCs w:val="24"/>
          <w:rtl/>
        </w:rPr>
      </w:pPr>
      <w:r w:rsidRPr="00207A57">
        <w:rPr>
          <w:rFonts w:ascii="David" w:eastAsia="Times New Roman" w:hAnsi="David" w:cs="David"/>
          <w:sz w:val="24"/>
          <w:szCs w:val="24"/>
          <w:rtl/>
        </w:rPr>
        <w:lastRenderedPageBreak/>
        <w:t>צעיר יהודי יליד בריטניה, שנמצא אשם ברצח בבריטניה, נמלט לישראל. במקביל לדרישת בריטניה מישראל להסגירו, ביקש הצעיר אזרחות ישראלית.</w:t>
      </w:r>
    </w:p>
    <w:p w:rsidR="006A73F5" w:rsidRPr="00207A57" w:rsidRDefault="006A73F5" w:rsidP="00207A57">
      <w:pPr>
        <w:pStyle w:val="a7"/>
        <w:numPr>
          <w:ilvl w:val="0"/>
          <w:numId w:val="23"/>
        </w:numPr>
        <w:spacing w:line="240" w:lineRule="auto"/>
        <w:ind w:firstLine="31"/>
        <w:jc w:val="both"/>
        <w:rPr>
          <w:rFonts w:ascii="David" w:hAnsi="David" w:cs="David"/>
          <w:sz w:val="24"/>
          <w:szCs w:val="24"/>
        </w:rPr>
      </w:pPr>
      <w:r w:rsidRPr="00207A57">
        <w:rPr>
          <w:rFonts w:ascii="David" w:eastAsia="Times New Roman" w:hAnsi="David" w:cs="David"/>
          <w:sz w:val="24"/>
          <w:szCs w:val="24"/>
          <w:rtl/>
        </w:rPr>
        <w:t xml:space="preserve">ציין והצג את </w:t>
      </w:r>
      <w:r w:rsidRPr="00207A57">
        <w:rPr>
          <w:rFonts w:ascii="David" w:eastAsia="Times New Roman" w:hAnsi="David" w:cs="David"/>
          <w:b/>
          <w:bCs/>
          <w:sz w:val="24"/>
          <w:szCs w:val="24"/>
          <w:rtl/>
        </w:rPr>
        <w:t>החוק</w:t>
      </w:r>
      <w:r w:rsidRPr="00207A57">
        <w:rPr>
          <w:rFonts w:ascii="David" w:eastAsia="Times New Roman" w:hAnsi="David" w:cs="David"/>
          <w:sz w:val="24"/>
          <w:szCs w:val="24"/>
          <w:rtl/>
        </w:rPr>
        <w:t xml:space="preserve"> </w:t>
      </w:r>
      <w:bookmarkStart w:id="1" w:name="_Hlk29501655"/>
      <w:r w:rsidRPr="00207A57">
        <w:rPr>
          <w:rFonts w:ascii="David" w:eastAsia="Times New Roman" w:hAnsi="David" w:cs="David"/>
          <w:sz w:val="24"/>
          <w:szCs w:val="24"/>
          <w:rtl/>
        </w:rPr>
        <w:t>עליו ביקש הצעיר להתבסס בדרישתו לקבל אזרחות ישראלית. הסבר כיצד חוק זה בא לידי ביטוי בקטע</w:t>
      </w:r>
      <w:r w:rsidRPr="00207A57">
        <w:rPr>
          <w:rFonts w:ascii="David" w:hAnsi="David" w:cs="David"/>
          <w:sz w:val="24"/>
          <w:szCs w:val="24"/>
          <w:rtl/>
        </w:rPr>
        <w:t>.</w:t>
      </w:r>
    </w:p>
    <w:bookmarkEnd w:id="1"/>
    <w:p w:rsidR="006A73F5" w:rsidRPr="00207A57" w:rsidRDefault="006A73F5" w:rsidP="00207A57">
      <w:pPr>
        <w:pStyle w:val="a7"/>
        <w:numPr>
          <w:ilvl w:val="0"/>
          <w:numId w:val="23"/>
        </w:numPr>
        <w:spacing w:line="240" w:lineRule="auto"/>
        <w:ind w:firstLine="31"/>
        <w:jc w:val="both"/>
        <w:rPr>
          <w:rFonts w:ascii="David" w:hAnsi="David" w:cs="David"/>
          <w:sz w:val="24"/>
          <w:szCs w:val="24"/>
        </w:rPr>
      </w:pPr>
      <w:r w:rsidRPr="00207A57">
        <w:rPr>
          <w:rFonts w:ascii="David" w:eastAsia="Times New Roman" w:hAnsi="David" w:cs="David"/>
          <w:sz w:val="24"/>
          <w:szCs w:val="24"/>
          <w:rtl/>
        </w:rPr>
        <w:t xml:space="preserve">ציין והצג את </w:t>
      </w:r>
      <w:r w:rsidRPr="00207A57">
        <w:rPr>
          <w:rFonts w:ascii="David" w:eastAsia="Times New Roman" w:hAnsi="David" w:cs="David"/>
          <w:b/>
          <w:bCs/>
          <w:sz w:val="24"/>
          <w:szCs w:val="24"/>
          <w:rtl/>
        </w:rPr>
        <w:t>המסלול/ תנאי בחוק</w:t>
      </w:r>
      <w:r w:rsidRPr="00207A57">
        <w:rPr>
          <w:rFonts w:ascii="David" w:eastAsia="Times New Roman" w:hAnsi="David" w:cs="David"/>
          <w:sz w:val="24"/>
          <w:szCs w:val="24"/>
          <w:rtl/>
        </w:rPr>
        <w:t xml:space="preserve"> </w:t>
      </w:r>
      <w:r w:rsidR="00084C9B" w:rsidRPr="00207A57">
        <w:rPr>
          <w:rFonts w:ascii="David" w:eastAsia="Times New Roman" w:hAnsi="David" w:cs="David"/>
          <w:sz w:val="24"/>
          <w:szCs w:val="24"/>
          <w:rtl/>
        </w:rPr>
        <w:t>עליו ביקש הצעיר להתבסס בדרישתו לקבל אזרחות ישראלית. הסבר כיצד חוק זה בא לידי ביטוי בקטע</w:t>
      </w:r>
      <w:r w:rsidR="00084C9B" w:rsidRPr="00207A57">
        <w:rPr>
          <w:rFonts w:ascii="David" w:hAnsi="David" w:cs="David"/>
          <w:sz w:val="24"/>
          <w:szCs w:val="24"/>
          <w:rtl/>
        </w:rPr>
        <w:t>.</w:t>
      </w:r>
    </w:p>
    <w:p w:rsidR="00084C9B" w:rsidRPr="00207A57" w:rsidRDefault="00084C9B" w:rsidP="00207A57">
      <w:pPr>
        <w:pStyle w:val="a7"/>
        <w:spacing w:line="240" w:lineRule="auto"/>
        <w:jc w:val="both"/>
        <w:rPr>
          <w:rFonts w:ascii="David" w:hAnsi="David" w:cs="David"/>
          <w:sz w:val="24"/>
          <w:szCs w:val="24"/>
        </w:rPr>
      </w:pPr>
    </w:p>
    <w:p w:rsidR="00084C9B" w:rsidRPr="00207A57" w:rsidRDefault="00084C9B" w:rsidP="00207A57">
      <w:pPr>
        <w:pStyle w:val="a7"/>
        <w:numPr>
          <w:ilvl w:val="0"/>
          <w:numId w:val="11"/>
        </w:numPr>
        <w:spacing w:after="200" w:line="240" w:lineRule="auto"/>
        <w:jc w:val="both"/>
        <w:rPr>
          <w:rFonts w:ascii="David" w:hAnsi="David" w:cs="David"/>
          <w:b/>
          <w:bCs/>
          <w:sz w:val="24"/>
          <w:szCs w:val="24"/>
        </w:rPr>
      </w:pPr>
      <w:r w:rsidRPr="00207A57">
        <w:rPr>
          <w:rFonts w:ascii="David" w:hAnsi="David" w:cs="David"/>
          <w:sz w:val="24"/>
          <w:szCs w:val="24"/>
          <w:rtl/>
        </w:rPr>
        <w:t xml:space="preserve">בדיון במכללה שחלק מתלמידיה יהודים וחלקם ערבים טענו סטודנטים ערבים כי חוק האזרחות מבטא את אופייה היהודי של מדינת ישראל. לעומתם טענו סטודנטים יהודים כי חוק זה מבטא את אופייה הדמוקרטי של מדינת ישראל. הסבירו את טיעוניהם של שני הצדדים. </w:t>
      </w:r>
    </w:p>
    <w:p w:rsidR="00084C9B" w:rsidRPr="00207A57" w:rsidRDefault="00084C9B" w:rsidP="00207A57">
      <w:pPr>
        <w:tabs>
          <w:tab w:val="left" w:pos="1318"/>
        </w:tabs>
        <w:spacing w:after="200" w:line="240" w:lineRule="auto"/>
        <w:jc w:val="both"/>
        <w:rPr>
          <w:rFonts w:ascii="David" w:hAnsi="David" w:cs="David"/>
          <w:b/>
          <w:bCs/>
          <w:sz w:val="24"/>
          <w:szCs w:val="24"/>
        </w:rPr>
      </w:pPr>
    </w:p>
    <w:p w:rsidR="00084C9B" w:rsidRPr="00207A57" w:rsidRDefault="00084C9B" w:rsidP="00207A57">
      <w:pPr>
        <w:pStyle w:val="a7"/>
        <w:numPr>
          <w:ilvl w:val="0"/>
          <w:numId w:val="11"/>
        </w:numPr>
        <w:tabs>
          <w:tab w:val="left" w:pos="1318"/>
        </w:tabs>
        <w:spacing w:after="200" w:line="240" w:lineRule="auto"/>
        <w:jc w:val="both"/>
        <w:rPr>
          <w:rFonts w:ascii="David" w:hAnsi="David" w:cs="David"/>
          <w:b/>
          <w:bCs/>
          <w:sz w:val="24"/>
          <w:szCs w:val="24"/>
        </w:rPr>
      </w:pPr>
      <w:r w:rsidRPr="00207A57">
        <w:rPr>
          <w:rFonts w:ascii="David" w:hAnsi="David" w:cs="David"/>
          <w:sz w:val="24"/>
          <w:szCs w:val="24"/>
          <w:rtl/>
        </w:rPr>
        <w:t xml:space="preserve">ציין שתי </w:t>
      </w:r>
      <w:r w:rsidRPr="00207A57">
        <w:rPr>
          <w:rFonts w:ascii="David" w:hAnsi="David" w:cs="David"/>
          <w:b/>
          <w:bCs/>
          <w:sz w:val="24"/>
          <w:szCs w:val="24"/>
          <w:rtl/>
        </w:rPr>
        <w:t>חובות של האזרח כלפי המדינה ושתי חובות של המדינה כלפי האזרח.</w:t>
      </w:r>
    </w:p>
    <w:p w:rsidR="00084C9B" w:rsidRPr="00207A57" w:rsidRDefault="00084C9B" w:rsidP="00207A57">
      <w:pPr>
        <w:tabs>
          <w:tab w:val="left" w:pos="1318"/>
        </w:tabs>
        <w:spacing w:after="200" w:line="240" w:lineRule="auto"/>
        <w:jc w:val="both"/>
        <w:rPr>
          <w:rFonts w:ascii="David" w:hAnsi="David" w:cs="David"/>
          <w:b/>
          <w:bCs/>
          <w:sz w:val="24"/>
          <w:szCs w:val="24"/>
        </w:rPr>
      </w:pPr>
    </w:p>
    <w:p w:rsidR="00084C9B" w:rsidRPr="00207A57" w:rsidRDefault="00084C9B" w:rsidP="00207A57">
      <w:pPr>
        <w:pStyle w:val="a7"/>
        <w:spacing w:after="200" w:line="240" w:lineRule="auto"/>
        <w:jc w:val="both"/>
        <w:rPr>
          <w:rFonts w:ascii="David" w:hAnsi="David" w:cs="David"/>
          <w:b/>
          <w:bCs/>
          <w:sz w:val="24"/>
          <w:szCs w:val="24"/>
        </w:rPr>
      </w:pPr>
    </w:p>
    <w:p w:rsidR="00084C9B" w:rsidRPr="00207A57" w:rsidRDefault="00084C9B" w:rsidP="00207A57">
      <w:pPr>
        <w:spacing w:line="240" w:lineRule="auto"/>
        <w:jc w:val="both"/>
        <w:rPr>
          <w:rFonts w:ascii="David" w:hAnsi="David" w:cs="David"/>
          <w:sz w:val="24"/>
          <w:szCs w:val="24"/>
          <w:rtl/>
        </w:rPr>
      </w:pPr>
    </w:p>
    <w:p w:rsidR="00043F0F" w:rsidRPr="00207A57" w:rsidRDefault="00043F0F" w:rsidP="00207A57">
      <w:pPr>
        <w:tabs>
          <w:tab w:val="left" w:pos="3423"/>
        </w:tabs>
        <w:spacing w:line="360" w:lineRule="auto"/>
        <w:jc w:val="both"/>
        <w:rPr>
          <w:rFonts w:ascii="David" w:hAnsi="David" w:cs="David"/>
          <w:sz w:val="24"/>
          <w:szCs w:val="24"/>
        </w:rPr>
      </w:pPr>
    </w:p>
    <w:sectPr w:rsidR="00043F0F" w:rsidRPr="00207A5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19" w:rsidRDefault="00D14919" w:rsidP="005844A9">
      <w:pPr>
        <w:spacing w:after="0" w:line="240" w:lineRule="auto"/>
      </w:pPr>
      <w:r>
        <w:separator/>
      </w:r>
    </w:p>
  </w:endnote>
  <w:endnote w:type="continuationSeparator" w:id="0">
    <w:p w:rsidR="00D14919" w:rsidRDefault="00D14919"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19" w:rsidRDefault="00D14919" w:rsidP="005844A9">
      <w:pPr>
        <w:spacing w:after="0" w:line="240" w:lineRule="auto"/>
      </w:pPr>
      <w:r>
        <w:separator/>
      </w:r>
    </w:p>
  </w:footnote>
  <w:footnote w:type="continuationSeparator" w:id="0">
    <w:p w:rsidR="00D14919" w:rsidRDefault="00D14919"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606"/>
    <w:multiLevelType w:val="hybridMultilevel"/>
    <w:tmpl w:val="13DC2A22"/>
    <w:lvl w:ilvl="0" w:tplc="38DA8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85F64"/>
    <w:multiLevelType w:val="hybridMultilevel"/>
    <w:tmpl w:val="47A85B8E"/>
    <w:lvl w:ilvl="0" w:tplc="E66C4C20">
      <w:start w:val="1"/>
      <w:numFmt w:val="hebrew1"/>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E44"/>
    <w:multiLevelType w:val="hybridMultilevel"/>
    <w:tmpl w:val="42F65300"/>
    <w:lvl w:ilvl="0" w:tplc="633A2ED6">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025BB"/>
    <w:multiLevelType w:val="hybridMultilevel"/>
    <w:tmpl w:val="EA3465A4"/>
    <w:lvl w:ilvl="0" w:tplc="E33C1F6C">
      <w:start w:val="1"/>
      <w:numFmt w:val="hebrew1"/>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7BA3"/>
    <w:multiLevelType w:val="hybridMultilevel"/>
    <w:tmpl w:val="54860A8C"/>
    <w:lvl w:ilvl="0" w:tplc="0884277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A3C6D"/>
    <w:multiLevelType w:val="hybridMultilevel"/>
    <w:tmpl w:val="B2B41678"/>
    <w:lvl w:ilvl="0" w:tplc="57A00E2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82112"/>
    <w:multiLevelType w:val="hybridMultilevel"/>
    <w:tmpl w:val="F0D81492"/>
    <w:lvl w:ilvl="0" w:tplc="199CB58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55DD0"/>
    <w:multiLevelType w:val="hybridMultilevel"/>
    <w:tmpl w:val="68AA9B60"/>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F4F48"/>
    <w:multiLevelType w:val="hybridMultilevel"/>
    <w:tmpl w:val="2D009E16"/>
    <w:lvl w:ilvl="0" w:tplc="19124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3919"/>
    <w:multiLevelType w:val="hybridMultilevel"/>
    <w:tmpl w:val="7470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2E16"/>
    <w:multiLevelType w:val="hybridMultilevel"/>
    <w:tmpl w:val="5A803D0A"/>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A2C8D"/>
    <w:multiLevelType w:val="hybridMultilevel"/>
    <w:tmpl w:val="8D14BF90"/>
    <w:lvl w:ilvl="0" w:tplc="5E4E5552">
      <w:start w:val="5"/>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8947DA"/>
    <w:multiLevelType w:val="hybridMultilevel"/>
    <w:tmpl w:val="BE1E1AF2"/>
    <w:lvl w:ilvl="0" w:tplc="39B06172">
      <w:start w:val="1"/>
      <w:numFmt w:val="hebrew1"/>
      <w:lvlText w:val="%1."/>
      <w:lvlJc w:val="left"/>
      <w:pPr>
        <w:ind w:left="720" w:hanging="360"/>
      </w:pPr>
      <w:rPr>
        <w:rFonts w:ascii="Arial" w:eastAsia="Times New Roman" w:hAnsi="Arial" w:cs="David"/>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3FFE"/>
    <w:multiLevelType w:val="hybridMultilevel"/>
    <w:tmpl w:val="EB70C07C"/>
    <w:lvl w:ilvl="0" w:tplc="A252BF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2" w15:restartNumberingAfterBreak="0">
    <w:nsid w:val="76A01F18"/>
    <w:multiLevelType w:val="hybridMultilevel"/>
    <w:tmpl w:val="BE1CBFB6"/>
    <w:lvl w:ilvl="0" w:tplc="5F9E86E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653234"/>
    <w:multiLevelType w:val="hybridMultilevel"/>
    <w:tmpl w:val="CA1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8"/>
  </w:num>
  <w:num w:numId="3">
    <w:abstractNumId w:val="12"/>
  </w:num>
  <w:num w:numId="4">
    <w:abstractNumId w:val="14"/>
  </w:num>
  <w:num w:numId="5">
    <w:abstractNumId w:val="25"/>
  </w:num>
  <w:num w:numId="6">
    <w:abstractNumId w:val="10"/>
  </w:num>
  <w:num w:numId="7">
    <w:abstractNumId w:val="18"/>
  </w:num>
  <w:num w:numId="8">
    <w:abstractNumId w:val="21"/>
  </w:num>
  <w:num w:numId="9">
    <w:abstractNumId w:val="6"/>
  </w:num>
  <w:num w:numId="10">
    <w:abstractNumId w:val="24"/>
  </w:num>
  <w:num w:numId="11">
    <w:abstractNumId w:val="15"/>
  </w:num>
  <w:num w:numId="12">
    <w:abstractNumId w:val="3"/>
  </w:num>
  <w:num w:numId="13">
    <w:abstractNumId w:val="16"/>
  </w:num>
  <w:num w:numId="14">
    <w:abstractNumId w:val="20"/>
  </w:num>
  <w:num w:numId="15">
    <w:abstractNumId w:val="23"/>
  </w:num>
  <w:num w:numId="16">
    <w:abstractNumId w:val="0"/>
  </w:num>
  <w:num w:numId="17">
    <w:abstractNumId w:val="7"/>
  </w:num>
  <w:num w:numId="18">
    <w:abstractNumId w:val="4"/>
  </w:num>
  <w:num w:numId="19">
    <w:abstractNumId w:val="1"/>
  </w:num>
  <w:num w:numId="20">
    <w:abstractNumId w:val="11"/>
  </w:num>
  <w:num w:numId="21">
    <w:abstractNumId w:val="22"/>
  </w:num>
  <w:num w:numId="22">
    <w:abstractNumId w:val="2"/>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602DB"/>
    <w:rsid w:val="00084C9B"/>
    <w:rsid w:val="000B7086"/>
    <w:rsid w:val="001350D2"/>
    <w:rsid w:val="001A6798"/>
    <w:rsid w:val="00202DB1"/>
    <w:rsid w:val="00207A57"/>
    <w:rsid w:val="00241EA3"/>
    <w:rsid w:val="003758D0"/>
    <w:rsid w:val="00397C94"/>
    <w:rsid w:val="00426082"/>
    <w:rsid w:val="00461073"/>
    <w:rsid w:val="004F68C0"/>
    <w:rsid w:val="005269D8"/>
    <w:rsid w:val="00561DFA"/>
    <w:rsid w:val="005844A9"/>
    <w:rsid w:val="005A54F9"/>
    <w:rsid w:val="005F497D"/>
    <w:rsid w:val="00634E93"/>
    <w:rsid w:val="00641D89"/>
    <w:rsid w:val="00657D14"/>
    <w:rsid w:val="006A73F5"/>
    <w:rsid w:val="006B1FE0"/>
    <w:rsid w:val="007319A8"/>
    <w:rsid w:val="00744695"/>
    <w:rsid w:val="007764C1"/>
    <w:rsid w:val="00797B6B"/>
    <w:rsid w:val="007A71BC"/>
    <w:rsid w:val="007C72A4"/>
    <w:rsid w:val="008C35BC"/>
    <w:rsid w:val="008C780A"/>
    <w:rsid w:val="008E29FB"/>
    <w:rsid w:val="008F7890"/>
    <w:rsid w:val="0093203A"/>
    <w:rsid w:val="009743A8"/>
    <w:rsid w:val="00992358"/>
    <w:rsid w:val="009F3BC8"/>
    <w:rsid w:val="00A71121"/>
    <w:rsid w:val="00A84351"/>
    <w:rsid w:val="00A84BE9"/>
    <w:rsid w:val="00B114C1"/>
    <w:rsid w:val="00B51923"/>
    <w:rsid w:val="00B51E7A"/>
    <w:rsid w:val="00B61F53"/>
    <w:rsid w:val="00BC7210"/>
    <w:rsid w:val="00C074E4"/>
    <w:rsid w:val="00C46817"/>
    <w:rsid w:val="00C65897"/>
    <w:rsid w:val="00C75180"/>
    <w:rsid w:val="00CA7257"/>
    <w:rsid w:val="00D12A98"/>
    <w:rsid w:val="00D14919"/>
    <w:rsid w:val="00D74E9C"/>
    <w:rsid w:val="00DA536C"/>
    <w:rsid w:val="00DC3237"/>
    <w:rsid w:val="00E46599"/>
    <w:rsid w:val="00E55044"/>
    <w:rsid w:val="00E90FAF"/>
    <w:rsid w:val="00E94465"/>
    <w:rsid w:val="00EA68D7"/>
    <w:rsid w:val="00EE69E1"/>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E26"/>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46508692">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4618-052C-4AEF-9ECE-CB051E0B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4995</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4</cp:revision>
  <dcterms:created xsi:type="dcterms:W3CDTF">2020-01-09T20:53:00Z</dcterms:created>
  <dcterms:modified xsi:type="dcterms:W3CDTF">2020-01-09T20:54:00Z</dcterms:modified>
</cp:coreProperties>
</file>