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5B" w:rsidRPr="00E45D19" w:rsidRDefault="00AA715B" w:rsidP="00E45D19">
      <w:pPr>
        <w:pStyle w:val="TableParagraph"/>
        <w:widowControl/>
        <w:autoSpaceDE/>
        <w:autoSpaceDN/>
        <w:bidi/>
        <w:spacing w:after="160" w:line="259" w:lineRule="auto"/>
        <w:rPr>
          <w:rFonts w:ascii="David" w:eastAsiaTheme="minorHAnsi" w:hAnsi="David" w:cs="David"/>
          <w:rtl/>
          <w:lang w:val="en-US" w:eastAsia="en-US"/>
        </w:rPr>
      </w:pPr>
    </w:p>
    <w:p w:rsidR="00AA715B" w:rsidRPr="00A25D42" w:rsidRDefault="00AA715B" w:rsidP="003F7D20">
      <w:pPr>
        <w:rPr>
          <w:rFonts w:ascii="David" w:hAnsi="David" w:cs="David"/>
          <w:rtl/>
        </w:rPr>
      </w:pPr>
    </w:p>
    <w:tbl>
      <w:tblPr>
        <w:tblStyle w:val="a3"/>
        <w:bidiVisual/>
        <w:tblW w:w="9667" w:type="dxa"/>
        <w:tblLook w:val="04A0" w:firstRow="1" w:lastRow="0" w:firstColumn="1" w:lastColumn="0" w:noHBand="0" w:noVBand="1"/>
      </w:tblPr>
      <w:tblGrid>
        <w:gridCol w:w="1925"/>
        <w:gridCol w:w="7742"/>
      </w:tblGrid>
      <w:tr w:rsidR="00AA715B" w:rsidRPr="00A25D42" w:rsidTr="009263C3">
        <w:trPr>
          <w:trHeight w:val="416"/>
        </w:trPr>
        <w:tc>
          <w:tcPr>
            <w:tcW w:w="9667" w:type="dxa"/>
            <w:gridSpan w:val="2"/>
            <w:shd w:val="pct20" w:color="auto" w:fill="auto"/>
          </w:tcPr>
          <w:p w:rsidR="00AA715B" w:rsidRPr="00A25D42" w:rsidRDefault="00AA715B" w:rsidP="00194E80">
            <w:pPr>
              <w:pStyle w:val="TableParagraph"/>
              <w:bidi/>
              <w:spacing w:line="276" w:lineRule="auto"/>
              <w:ind w:right="38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25D42">
              <w:rPr>
                <w:rFonts w:ascii="David" w:hAnsi="David" w:cs="David"/>
                <w:b/>
                <w:bCs/>
                <w:color w:val="FF0000"/>
                <w:sz w:val="24"/>
                <w:szCs w:val="24"/>
                <w:highlight w:val="yellow"/>
                <w:rtl/>
              </w:rPr>
              <w:t>נושא 12 – עקרון הכרעת הרוב ושמירה על זכויות המיעוט</w:t>
            </w:r>
          </w:p>
        </w:tc>
      </w:tr>
      <w:tr w:rsidR="005B720A" w:rsidRPr="00A25D42" w:rsidTr="00E45D19">
        <w:trPr>
          <w:trHeight w:val="541"/>
        </w:trPr>
        <w:tc>
          <w:tcPr>
            <w:tcW w:w="1163" w:type="dxa"/>
          </w:tcPr>
          <w:p w:rsidR="005B720A" w:rsidRPr="00A25D42" w:rsidRDefault="005B720A" w:rsidP="00AB7A75">
            <w:pPr>
              <w:pStyle w:val="TableParagraph"/>
              <w:bidi/>
              <w:spacing w:line="270" w:lineRule="exact"/>
              <w:ind w:right="580"/>
              <w:rPr>
                <w:rFonts w:ascii="David" w:hAnsi="David" w:cs="David"/>
                <w:b/>
                <w:bCs/>
                <w:color w:val="FF0000"/>
                <w:sz w:val="24"/>
                <w:szCs w:val="24"/>
              </w:rPr>
            </w:pPr>
            <w:r w:rsidRPr="00A25D42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עקרון הכרעת הרוב</w:t>
            </w:r>
          </w:p>
        </w:tc>
        <w:tc>
          <w:tcPr>
            <w:tcW w:w="8504" w:type="dxa"/>
          </w:tcPr>
          <w:p w:rsidR="005B720A" w:rsidRPr="00A25D42" w:rsidRDefault="005B720A" w:rsidP="005B720A">
            <w:pPr>
              <w:pStyle w:val="TableParagraph"/>
              <w:numPr>
                <w:ilvl w:val="0"/>
                <w:numId w:val="8"/>
              </w:numPr>
              <w:bidi/>
              <w:spacing w:line="270" w:lineRule="exact"/>
              <w:ind w:right="164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עקרון הקובע שמתוך כמה אפשרויות מתקבלת זו שרוב האוכלוסייה</w:t>
            </w:r>
            <w:r w:rsidRPr="00A25D42">
              <w:rPr>
                <w:rFonts w:ascii="David" w:hAnsi="David" w:cs="David"/>
                <w:sz w:val="24"/>
                <w:szCs w:val="24"/>
              </w:rPr>
              <w:t>/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הנציגים המצביעים תומכים בה </w:t>
            </w:r>
            <w:r w:rsidRPr="00A25D42">
              <w:rPr>
                <w:rFonts w:ascii="David" w:hAnsi="David" w:cs="David"/>
                <w:spacing w:val="7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  <w:p w:rsidR="005B720A" w:rsidRPr="00A25D42" w:rsidRDefault="005B720A" w:rsidP="005B720A">
            <w:pPr>
              <w:pStyle w:val="TableParagraph"/>
              <w:numPr>
                <w:ilvl w:val="0"/>
                <w:numId w:val="8"/>
              </w:numPr>
              <w:bidi/>
              <w:spacing w:line="270" w:lineRule="exact"/>
              <w:ind w:right="164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אסור לרוב לקבל החלטות שפוגעות באופן לא סביר</w:t>
            </w:r>
            <w:r w:rsidR="00A25D42">
              <w:rPr>
                <w:rFonts w:ascii="David" w:hAnsi="David" w:cs="David" w:hint="cs"/>
                <w:sz w:val="24"/>
                <w:szCs w:val="24"/>
                <w:rtl/>
              </w:rPr>
              <w:t xml:space="preserve"> או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>בלתי מוצדק בזכויות יסוד ובמיוחד בזכויות המיעוט</w:t>
            </w:r>
          </w:p>
        </w:tc>
      </w:tr>
      <w:tr w:rsidR="005B720A" w:rsidRPr="00A25D42" w:rsidTr="00E45D19">
        <w:trPr>
          <w:trHeight w:val="293"/>
        </w:trPr>
        <w:tc>
          <w:tcPr>
            <w:tcW w:w="1163" w:type="dxa"/>
          </w:tcPr>
          <w:p w:rsidR="005B720A" w:rsidRPr="00A25D42" w:rsidRDefault="005B720A" w:rsidP="00A25D42">
            <w:pPr>
              <w:pStyle w:val="TableParagraph"/>
              <w:bidi/>
              <w:spacing w:line="270" w:lineRule="exact"/>
              <w:ind w:right="1084"/>
              <w:rPr>
                <w:rFonts w:ascii="David" w:hAnsi="David" w:cs="David"/>
                <w:b/>
                <w:bCs/>
                <w:color w:val="FF0000"/>
              </w:rPr>
            </w:pPr>
            <w:r w:rsidRPr="00A25D42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עריצות</w:t>
            </w:r>
            <w:r w:rsidR="00A25D4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  <w:t>הרוב</w:t>
            </w:r>
          </w:p>
        </w:tc>
        <w:tc>
          <w:tcPr>
            <w:tcW w:w="8504" w:type="dxa"/>
          </w:tcPr>
          <w:p w:rsidR="005B720A" w:rsidRDefault="005B720A" w:rsidP="005B720A">
            <w:pPr>
              <w:pStyle w:val="TableParagraph"/>
              <w:bidi/>
              <w:spacing w:line="270" w:lineRule="exact"/>
              <w:ind w:left="460"/>
              <w:rPr>
                <w:rFonts w:ascii="David" w:hAnsi="David" w:cs="David"/>
                <w:rtl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שימוש לרעה בעקרון הכרעת הרוב</w:t>
            </w:r>
            <w:r w:rsidRPr="00A25D42">
              <w:rPr>
                <w:rFonts w:ascii="David" w:hAnsi="David" w:cs="David"/>
                <w:sz w:val="24"/>
                <w:szCs w:val="24"/>
              </w:rPr>
              <w:t>/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הרוב מנצל את כוחו לרעה</w:t>
            </w:r>
          </w:p>
          <w:p w:rsidR="00E45D19" w:rsidRPr="00A25D42" w:rsidRDefault="00E45D19" w:rsidP="00E45D19">
            <w:pPr>
              <w:pStyle w:val="TableParagraph"/>
              <w:bidi/>
              <w:spacing w:line="270" w:lineRule="exact"/>
              <w:ind w:left="460"/>
              <w:rPr>
                <w:rFonts w:ascii="David" w:hAnsi="David" w:cs="David"/>
              </w:rPr>
            </w:pPr>
          </w:p>
          <w:p w:rsidR="005B720A" w:rsidRPr="00A25D42" w:rsidRDefault="005B720A" w:rsidP="005B720A">
            <w:pPr>
              <w:pStyle w:val="a4"/>
              <w:bidi/>
              <w:spacing w:line="270" w:lineRule="exact"/>
              <w:ind w:left="460"/>
              <w:rPr>
                <w:rFonts w:ascii="David" w:hAnsi="David" w:cs="David"/>
              </w:rPr>
            </w:pPr>
          </w:p>
        </w:tc>
      </w:tr>
    </w:tbl>
    <w:p w:rsidR="00E45D19" w:rsidRDefault="00E45D19" w:rsidP="00E45D19">
      <w:pPr>
        <w:spacing w:line="240" w:lineRule="auto"/>
        <w:rPr>
          <w:rFonts w:ascii="David" w:hAnsi="David" w:cs="David"/>
          <w:color w:val="002060"/>
          <w:sz w:val="24"/>
          <w:szCs w:val="24"/>
          <w:rtl/>
        </w:rPr>
      </w:pPr>
      <w:r>
        <w:rPr>
          <w:rFonts w:ascii="David" w:hAnsi="David" w:cs="David" w:hint="cs"/>
          <w:color w:val="002060"/>
          <w:sz w:val="24"/>
          <w:szCs w:val="24"/>
          <w:rtl/>
        </w:rPr>
        <w:t xml:space="preserve">עריצות רוב- </w:t>
      </w:r>
      <w:r w:rsidRPr="00E45D19">
        <w:rPr>
          <w:rFonts w:ascii="David" w:hAnsi="David" w:cs="David" w:hint="cs"/>
          <w:color w:val="002060"/>
          <w:sz w:val="24"/>
          <w:szCs w:val="24"/>
          <w:rtl/>
        </w:rPr>
        <w:t>כש</w:t>
      </w:r>
      <w:r w:rsidRPr="00E45D19">
        <w:rPr>
          <w:rFonts w:ascii="David" w:hAnsi="David" w:cs="David" w:hint="cs"/>
          <w:color w:val="002060"/>
          <w:sz w:val="24"/>
          <w:szCs w:val="24"/>
          <w:rtl/>
        </w:rPr>
        <w:t xml:space="preserve">הרוב מנצל את הכוח שיש לו, פוגע בזכויות אדם בצורה בלתי מידתית </w:t>
      </w:r>
      <w:r w:rsidRPr="00E45D19">
        <w:rPr>
          <w:rFonts w:ascii="David" w:hAnsi="David" w:cs="David" w:hint="cs"/>
          <w:b/>
          <w:bCs/>
          <w:color w:val="002060"/>
          <w:sz w:val="24"/>
          <w:szCs w:val="24"/>
          <w:rtl/>
        </w:rPr>
        <w:t>ומקבל החלטות שימנעו מהמיעוט את האפשרות להפוך לרוב בהמשך</w:t>
      </w:r>
      <w:r w:rsidRPr="00E45D19">
        <w:rPr>
          <w:rFonts w:ascii="David" w:hAnsi="David" w:cs="David" w:hint="cs"/>
          <w:color w:val="002060"/>
          <w:sz w:val="24"/>
          <w:szCs w:val="24"/>
          <w:rtl/>
        </w:rPr>
        <w:t xml:space="preserve">. כאשר הרוב מקבל החלטות באופן לא סביר או בלתי מוצדק בזכויות יסוד ובפרט בזכויות המיעוט. למשל שינוי בהליך </w:t>
      </w:r>
      <w:bookmarkStart w:id="0" w:name="_GoBack"/>
      <w:bookmarkEnd w:id="0"/>
      <w:r w:rsidRPr="00E45D19">
        <w:rPr>
          <w:rFonts w:ascii="David" w:hAnsi="David" w:cs="David" w:hint="cs"/>
          <w:color w:val="002060"/>
          <w:sz w:val="24"/>
          <w:szCs w:val="24"/>
          <w:rtl/>
        </w:rPr>
        <w:t xml:space="preserve">הבחירות, פגיעה בחופש הביטוי, חופש ההתאגדות </w:t>
      </w:r>
      <w:proofErr w:type="spellStart"/>
      <w:r w:rsidRPr="00E45D19">
        <w:rPr>
          <w:rFonts w:ascii="David" w:hAnsi="David" w:cs="David" w:hint="cs"/>
          <w:color w:val="002060"/>
          <w:sz w:val="24"/>
          <w:szCs w:val="24"/>
          <w:rtl/>
        </w:rPr>
        <w:t>וכו</w:t>
      </w:r>
      <w:proofErr w:type="spellEnd"/>
      <w:r w:rsidRPr="00E45D19">
        <w:rPr>
          <w:rFonts w:ascii="David" w:hAnsi="David" w:cs="David" w:hint="cs"/>
          <w:color w:val="002060"/>
          <w:sz w:val="24"/>
          <w:szCs w:val="24"/>
          <w:rtl/>
        </w:rPr>
        <w:t>'.</w:t>
      </w:r>
    </w:p>
    <w:p w:rsidR="00E45D19" w:rsidRPr="00E45D19" w:rsidRDefault="00E45D19" w:rsidP="00E45D19">
      <w:pPr>
        <w:spacing w:line="240" w:lineRule="auto"/>
        <w:rPr>
          <w:rFonts w:ascii="David" w:hAnsi="David" w:cs="David"/>
          <w:color w:val="002060"/>
          <w:sz w:val="24"/>
          <w:szCs w:val="24"/>
          <w:rtl/>
        </w:rPr>
      </w:pPr>
    </w:p>
    <w:tbl>
      <w:tblPr>
        <w:tblStyle w:val="a3"/>
        <w:bidiVisual/>
        <w:tblW w:w="9667" w:type="dxa"/>
        <w:tblLook w:val="04A0" w:firstRow="1" w:lastRow="0" w:firstColumn="1" w:lastColumn="0" w:noHBand="0" w:noVBand="1"/>
      </w:tblPr>
      <w:tblGrid>
        <w:gridCol w:w="2302"/>
        <w:gridCol w:w="7365"/>
      </w:tblGrid>
      <w:tr w:rsidR="00E45D19" w:rsidRPr="00A25D42" w:rsidTr="00B910F7">
        <w:trPr>
          <w:trHeight w:val="293"/>
        </w:trPr>
        <w:tc>
          <w:tcPr>
            <w:tcW w:w="9667" w:type="dxa"/>
            <w:gridSpan w:val="2"/>
          </w:tcPr>
          <w:p w:rsidR="00E45D19" w:rsidRPr="00A25D42" w:rsidRDefault="00E45D19" w:rsidP="00B910F7">
            <w:pPr>
              <w:pStyle w:val="TableParagraph"/>
              <w:bidi/>
              <w:spacing w:line="270" w:lineRule="exact"/>
              <w:ind w:left="46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25D4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  <w:rtl/>
              </w:rPr>
              <w:t>3 סוגי רוב (מושגי רקע)</w:t>
            </w:r>
            <w:r w:rsidRPr="00A25D42">
              <w:rPr>
                <w:rFonts w:ascii="David" w:hAnsi="David" w:cs="David" w:hint="cs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45D19" w:rsidRPr="00A25D42" w:rsidTr="00B910F7">
        <w:trPr>
          <w:trHeight w:val="293"/>
        </w:trPr>
        <w:tc>
          <w:tcPr>
            <w:tcW w:w="2302" w:type="dxa"/>
          </w:tcPr>
          <w:p w:rsidR="00E45D19" w:rsidRPr="00A25D42" w:rsidRDefault="00E45D19" w:rsidP="00B910F7">
            <w:pPr>
              <w:pStyle w:val="TableParagraph"/>
              <w:bidi/>
              <w:spacing w:line="270" w:lineRule="exact"/>
              <w:ind w:right="1084"/>
              <w:rPr>
                <w:rFonts w:ascii="David" w:hAnsi="David" w:cs="David"/>
                <w:sz w:val="24"/>
                <w:szCs w:val="24"/>
                <w:rtl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רוב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>רגיל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>מושג רקע</w:t>
            </w:r>
          </w:p>
        </w:tc>
        <w:tc>
          <w:tcPr>
            <w:tcW w:w="7365" w:type="dxa"/>
          </w:tcPr>
          <w:p w:rsidR="00E45D19" w:rsidRPr="00A25D42" w:rsidRDefault="00E45D19" w:rsidP="00B910F7">
            <w:pPr>
              <w:pStyle w:val="a4"/>
              <w:bidi/>
              <w:spacing w:line="270" w:lineRule="exact"/>
              <w:ind w:left="460"/>
              <w:rPr>
                <w:rFonts w:ascii="David" w:hAnsi="David" w:cs="David"/>
              </w:rPr>
            </w:pPr>
            <w:r w:rsidRPr="00A25D42">
              <w:rPr>
                <w:rFonts w:ascii="David" w:hAnsi="David" w:cs="David"/>
                <w:rtl/>
              </w:rPr>
              <w:t>החלטה המתקבלת על פי מספר הקולות הגדול ביותר מבין המשתתפים בהצבעה</w:t>
            </w:r>
          </w:p>
          <w:p w:rsidR="00E45D19" w:rsidRPr="00A25D42" w:rsidRDefault="00E45D19" w:rsidP="00B910F7">
            <w:pPr>
              <w:pStyle w:val="TableParagraph"/>
              <w:bidi/>
              <w:spacing w:line="270" w:lineRule="exact"/>
              <w:ind w:left="46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45D19" w:rsidRPr="00A25D42" w:rsidTr="00B910F7">
        <w:trPr>
          <w:trHeight w:val="293"/>
        </w:trPr>
        <w:tc>
          <w:tcPr>
            <w:tcW w:w="2302" w:type="dxa"/>
            <w:vMerge w:val="restart"/>
          </w:tcPr>
          <w:p w:rsidR="00E45D19" w:rsidRPr="00A25D42" w:rsidRDefault="00E45D19" w:rsidP="00B910F7">
            <w:pPr>
              <w:pStyle w:val="a4"/>
              <w:bidi/>
              <w:spacing w:line="270" w:lineRule="exact"/>
              <w:ind w:right="1084"/>
              <w:jc w:val="both"/>
              <w:rPr>
                <w:rFonts w:ascii="David" w:hAnsi="David" w:cs="David"/>
              </w:rPr>
            </w:pPr>
            <w:r w:rsidRPr="00A25D42">
              <w:rPr>
                <w:rFonts w:ascii="David" w:hAnsi="David" w:cs="David"/>
                <w:rtl/>
              </w:rPr>
              <w:t>רוב מוחלט מושג רקע</w:t>
            </w:r>
          </w:p>
        </w:tc>
        <w:tc>
          <w:tcPr>
            <w:tcW w:w="7365" w:type="dxa"/>
            <w:vMerge w:val="restart"/>
          </w:tcPr>
          <w:p w:rsidR="00E45D19" w:rsidRPr="00A25D42" w:rsidRDefault="00E45D19" w:rsidP="00B910F7">
            <w:pPr>
              <w:pStyle w:val="TableParagraph"/>
              <w:bidi/>
              <w:spacing w:line="270" w:lineRule="exact"/>
              <w:ind w:right="250"/>
              <w:rPr>
                <w:rFonts w:ascii="David" w:hAnsi="David" w:cs="David"/>
                <w:sz w:val="24"/>
                <w:szCs w:val="24"/>
                <w:rtl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       החלטה המתקבלת על פי מספר הגדול לפחות באחד ממחצית בעלי זכות </w:t>
            </w:r>
          </w:p>
          <w:p w:rsidR="00E45D19" w:rsidRPr="00A25D42" w:rsidRDefault="00E45D19" w:rsidP="00B910F7">
            <w:pPr>
              <w:pStyle w:val="TableParagraph"/>
              <w:bidi/>
              <w:spacing w:line="270" w:lineRule="exact"/>
              <w:ind w:right="250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       ההצבעה או מן המשתתפים בהצבעה</w:t>
            </w:r>
          </w:p>
        </w:tc>
      </w:tr>
      <w:tr w:rsidR="00E45D19" w:rsidRPr="00A25D42" w:rsidTr="00B910F7">
        <w:trPr>
          <w:trHeight w:val="253"/>
        </w:trPr>
        <w:tc>
          <w:tcPr>
            <w:tcW w:w="2302" w:type="dxa"/>
            <w:vMerge/>
          </w:tcPr>
          <w:p w:rsidR="00E45D19" w:rsidRPr="00A25D42" w:rsidRDefault="00E45D19" w:rsidP="00B910F7">
            <w:pPr>
              <w:pStyle w:val="TableParagraph"/>
              <w:rPr>
                <w:rFonts w:ascii="David" w:hAnsi="David" w:cs="David"/>
              </w:rPr>
            </w:pPr>
          </w:p>
        </w:tc>
        <w:tc>
          <w:tcPr>
            <w:tcW w:w="7365" w:type="dxa"/>
            <w:vMerge/>
          </w:tcPr>
          <w:p w:rsidR="00E45D19" w:rsidRPr="00A25D42" w:rsidRDefault="00E45D19" w:rsidP="00B910F7">
            <w:pPr>
              <w:pStyle w:val="TableParagraph"/>
              <w:bidi/>
              <w:spacing w:before="15"/>
              <w:ind w:left="67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45D19" w:rsidRPr="00A25D42" w:rsidTr="00B910F7">
        <w:trPr>
          <w:trHeight w:val="253"/>
        </w:trPr>
        <w:tc>
          <w:tcPr>
            <w:tcW w:w="2302" w:type="dxa"/>
          </w:tcPr>
          <w:p w:rsidR="00E45D19" w:rsidRDefault="00E45D19" w:rsidP="00B910F7">
            <w:pPr>
              <w:pStyle w:val="TableParagraph"/>
              <w:bidi/>
              <w:spacing w:line="27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רוב</w:t>
            </w:r>
            <w:r w:rsidRPr="00A25D42">
              <w:rPr>
                <w:rFonts w:ascii="David" w:hAnsi="David" w:cs="David"/>
                <w:spacing w:val="-8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>מיוחד</w:t>
            </w:r>
            <w:r w:rsidRPr="00A25D42">
              <w:rPr>
                <w:rFonts w:ascii="David" w:hAnsi="David" w:cs="David"/>
                <w:sz w:val="24"/>
                <w:szCs w:val="24"/>
              </w:rPr>
              <w:t>/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מיוחס </w:t>
            </w:r>
          </w:p>
          <w:p w:rsidR="00E45D19" w:rsidRPr="00A25D42" w:rsidRDefault="00E45D19" w:rsidP="00B910F7">
            <w:pPr>
              <w:pStyle w:val="TableParagraph"/>
              <w:bidi/>
              <w:spacing w:line="270" w:lineRule="exact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מושג</w:t>
            </w:r>
            <w:r w:rsidRPr="00A25D42">
              <w:rPr>
                <w:rFonts w:ascii="David" w:hAnsi="David" w:cs="David"/>
                <w:spacing w:val="-4"/>
                <w:sz w:val="24"/>
                <w:szCs w:val="24"/>
                <w:rtl/>
              </w:rPr>
              <w:t xml:space="preserve"> 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>רקע</w:t>
            </w:r>
          </w:p>
        </w:tc>
        <w:tc>
          <w:tcPr>
            <w:tcW w:w="7365" w:type="dxa"/>
          </w:tcPr>
          <w:p w:rsidR="00E45D19" w:rsidRPr="00A25D42" w:rsidRDefault="00E45D19" w:rsidP="00B910F7">
            <w:pPr>
              <w:pStyle w:val="TableParagraph"/>
              <w:numPr>
                <w:ilvl w:val="0"/>
                <w:numId w:val="8"/>
              </w:numPr>
              <w:bidi/>
              <w:spacing w:line="270" w:lineRule="exact"/>
              <w:ind w:right="238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>החלטה המתקבלת על פי אחוז</w:t>
            </w:r>
            <w:r w:rsidRPr="00A25D42">
              <w:rPr>
                <w:rFonts w:ascii="David" w:hAnsi="David" w:cs="David"/>
                <w:sz w:val="24"/>
                <w:szCs w:val="24"/>
              </w:rPr>
              <w:t>/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מספר מוגדר מראש מכלל בעלי זכות ההצבעה או מן המשתתפים בהצבעה </w:t>
            </w:r>
          </w:p>
          <w:p w:rsidR="00E45D19" w:rsidRPr="00A25D42" w:rsidRDefault="00E45D19" w:rsidP="00B910F7">
            <w:pPr>
              <w:pStyle w:val="TableParagraph"/>
              <w:numPr>
                <w:ilvl w:val="0"/>
                <w:numId w:val="8"/>
              </w:numPr>
              <w:bidi/>
              <w:spacing w:line="270" w:lineRule="exact"/>
              <w:ind w:right="238"/>
              <w:rPr>
                <w:rFonts w:ascii="David" w:hAnsi="David" w:cs="David"/>
                <w:sz w:val="24"/>
                <w:szCs w:val="24"/>
              </w:rPr>
            </w:pP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במקרה של רוב מיוחס </w:t>
            </w:r>
            <w:r w:rsidRPr="00A25D42">
              <w:rPr>
                <w:rFonts w:ascii="David" w:hAnsi="David" w:cs="David"/>
                <w:sz w:val="24"/>
                <w:szCs w:val="24"/>
              </w:rPr>
              <w:t>–</w:t>
            </w:r>
            <w:r w:rsidRPr="00A25D42">
              <w:rPr>
                <w:rFonts w:ascii="David" w:hAnsi="David" w:cs="David"/>
                <w:sz w:val="24"/>
                <w:szCs w:val="24"/>
                <w:rtl/>
              </w:rPr>
              <w:t xml:space="preserve"> המספר גדול יותר מרוב מוחלט</w:t>
            </w:r>
          </w:p>
        </w:tc>
      </w:tr>
    </w:tbl>
    <w:p w:rsidR="00AA715B" w:rsidRPr="00E45D19" w:rsidRDefault="00AA715B" w:rsidP="003F7D20">
      <w:pPr>
        <w:rPr>
          <w:rFonts w:ascii="David" w:hAnsi="David" w:cs="David"/>
        </w:rPr>
      </w:pPr>
    </w:p>
    <w:sectPr w:rsidR="00AA715B" w:rsidRPr="00E45D19" w:rsidSect="00797B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047" w:rsidRDefault="00434047" w:rsidP="00FC79EF">
      <w:pPr>
        <w:spacing w:after="0" w:line="240" w:lineRule="auto"/>
      </w:pPr>
      <w:r>
        <w:separator/>
      </w:r>
    </w:p>
  </w:endnote>
  <w:endnote w:type="continuationSeparator" w:id="0">
    <w:p w:rsidR="00434047" w:rsidRDefault="00434047" w:rsidP="00FC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047" w:rsidRDefault="00434047" w:rsidP="00FC79EF">
      <w:pPr>
        <w:spacing w:after="0" w:line="240" w:lineRule="auto"/>
      </w:pPr>
      <w:r>
        <w:separator/>
      </w:r>
    </w:p>
  </w:footnote>
  <w:footnote w:type="continuationSeparator" w:id="0">
    <w:p w:rsidR="00434047" w:rsidRDefault="00434047" w:rsidP="00FC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1D1"/>
    <w:multiLevelType w:val="hybridMultilevel"/>
    <w:tmpl w:val="7ABAC9F6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1F0"/>
    <w:multiLevelType w:val="hybridMultilevel"/>
    <w:tmpl w:val="2488BDD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6D37FBE"/>
    <w:multiLevelType w:val="hybridMultilevel"/>
    <w:tmpl w:val="E8C2E362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F4F"/>
    <w:multiLevelType w:val="hybridMultilevel"/>
    <w:tmpl w:val="5A0AC842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3D5"/>
    <w:multiLevelType w:val="hybridMultilevel"/>
    <w:tmpl w:val="87E02E5A"/>
    <w:lvl w:ilvl="0" w:tplc="C7189174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1D8367B4"/>
    <w:multiLevelType w:val="hybridMultilevel"/>
    <w:tmpl w:val="61660F76"/>
    <w:lvl w:ilvl="0" w:tplc="E1B68A12">
      <w:numFmt w:val="bullet"/>
      <w:lvlText w:val=""/>
      <w:lvlJc w:val="left"/>
      <w:pPr>
        <w:ind w:left="69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26110E10"/>
    <w:multiLevelType w:val="hybridMultilevel"/>
    <w:tmpl w:val="4B4AC144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4EA0"/>
    <w:multiLevelType w:val="hybridMultilevel"/>
    <w:tmpl w:val="4E1E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48D5"/>
    <w:multiLevelType w:val="hybridMultilevel"/>
    <w:tmpl w:val="B1F69A94"/>
    <w:lvl w:ilvl="0" w:tplc="786685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16667E"/>
    <w:multiLevelType w:val="hybridMultilevel"/>
    <w:tmpl w:val="88E66FAA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411E"/>
    <w:multiLevelType w:val="hybridMultilevel"/>
    <w:tmpl w:val="C6F07918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44FDD"/>
    <w:multiLevelType w:val="hybridMultilevel"/>
    <w:tmpl w:val="DAFE0288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668BA"/>
    <w:multiLevelType w:val="hybridMultilevel"/>
    <w:tmpl w:val="FFEEF7DA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FF5"/>
    <w:multiLevelType w:val="hybridMultilevel"/>
    <w:tmpl w:val="536824B0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 w15:restartNumberingAfterBreak="0">
    <w:nsid w:val="682E6D42"/>
    <w:multiLevelType w:val="hybridMultilevel"/>
    <w:tmpl w:val="9B46755C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5537"/>
    <w:multiLevelType w:val="hybridMultilevel"/>
    <w:tmpl w:val="AC1C3596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A57CE"/>
    <w:multiLevelType w:val="hybridMultilevel"/>
    <w:tmpl w:val="2F5E9090"/>
    <w:lvl w:ilvl="0" w:tplc="794829BA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 w15:restartNumberingAfterBreak="0">
    <w:nsid w:val="73C05C8C"/>
    <w:multiLevelType w:val="hybridMultilevel"/>
    <w:tmpl w:val="59384BB2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57266"/>
    <w:multiLevelType w:val="hybridMultilevel"/>
    <w:tmpl w:val="0D249F76"/>
    <w:lvl w:ilvl="0" w:tplc="786685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F3539"/>
    <w:multiLevelType w:val="hybridMultilevel"/>
    <w:tmpl w:val="06AAF448"/>
    <w:lvl w:ilvl="0" w:tplc="786685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650EA"/>
    <w:multiLevelType w:val="hybridMultilevel"/>
    <w:tmpl w:val="E4866C20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E368B"/>
    <w:multiLevelType w:val="hybridMultilevel"/>
    <w:tmpl w:val="653039E2"/>
    <w:lvl w:ilvl="0" w:tplc="78668560">
      <w:numFmt w:val="bullet"/>
      <w:lvlText w:val=""/>
      <w:lvlJc w:val="left"/>
      <w:pPr>
        <w:ind w:left="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9"/>
  </w:num>
  <w:num w:numId="5">
    <w:abstractNumId w:val="6"/>
  </w:num>
  <w:num w:numId="6">
    <w:abstractNumId w:val="14"/>
  </w:num>
  <w:num w:numId="7">
    <w:abstractNumId w:val="21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17"/>
  </w:num>
  <w:num w:numId="15">
    <w:abstractNumId w:val="20"/>
  </w:num>
  <w:num w:numId="16">
    <w:abstractNumId w:val="4"/>
  </w:num>
  <w:num w:numId="17">
    <w:abstractNumId w:val="7"/>
  </w:num>
  <w:num w:numId="18">
    <w:abstractNumId w:val="1"/>
  </w:num>
  <w:num w:numId="19">
    <w:abstractNumId w:val="8"/>
  </w:num>
  <w:num w:numId="20">
    <w:abstractNumId w:val="1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20"/>
    <w:rsid w:val="000504A4"/>
    <w:rsid w:val="000F1399"/>
    <w:rsid w:val="003460B5"/>
    <w:rsid w:val="003B2BBD"/>
    <w:rsid w:val="003F7D20"/>
    <w:rsid w:val="00434047"/>
    <w:rsid w:val="00434B5C"/>
    <w:rsid w:val="00551F9C"/>
    <w:rsid w:val="005B720A"/>
    <w:rsid w:val="005F030A"/>
    <w:rsid w:val="006740C5"/>
    <w:rsid w:val="006F1D22"/>
    <w:rsid w:val="007235C0"/>
    <w:rsid w:val="00797B6B"/>
    <w:rsid w:val="00867F9E"/>
    <w:rsid w:val="0093243A"/>
    <w:rsid w:val="00940DB1"/>
    <w:rsid w:val="00A25D42"/>
    <w:rsid w:val="00AA715B"/>
    <w:rsid w:val="00AB7A75"/>
    <w:rsid w:val="00C54501"/>
    <w:rsid w:val="00D87EBA"/>
    <w:rsid w:val="00DD0E03"/>
    <w:rsid w:val="00E2035D"/>
    <w:rsid w:val="00E45D19"/>
    <w:rsid w:val="00FB7D8E"/>
    <w:rsid w:val="00FC17EF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3C13"/>
  <w15:chartTrackingRefBased/>
  <w15:docId w15:val="{7EFA50D0-C9B4-49C0-B437-27794E7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7D20"/>
    <w:pPr>
      <w:widowControl w:val="0"/>
      <w:autoSpaceDE w:val="0"/>
      <w:autoSpaceDN w:val="0"/>
      <w:bidi w:val="0"/>
      <w:spacing w:after="0" w:line="240" w:lineRule="auto"/>
    </w:pPr>
    <w:rPr>
      <w:rFonts w:ascii="Times New Roman" w:eastAsia="Times New Roman" w:hAnsi="Times New Roman" w:cs="Times New Roman"/>
      <w:lang w:val="he-IL" w:eastAsia="he-IL"/>
    </w:rPr>
  </w:style>
  <w:style w:type="table" w:customStyle="1" w:styleId="TableNormal">
    <w:name w:val="Table Normal"/>
    <w:uiPriority w:val="2"/>
    <w:semiHidden/>
    <w:unhideWhenUsed/>
    <w:qFormat/>
    <w:rsid w:val="003F7D20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F7D20"/>
    <w:pPr>
      <w:widowControl w:val="0"/>
      <w:autoSpaceDE w:val="0"/>
      <w:autoSpaceDN w:val="0"/>
      <w:bidi w:val="0"/>
      <w:spacing w:before="2" w:after="0" w:line="240" w:lineRule="auto"/>
    </w:pPr>
    <w:rPr>
      <w:rFonts w:ascii="Times New Roman" w:eastAsia="Times New Roman" w:hAnsi="Times New Roman" w:cs="Times New Roman"/>
      <w:sz w:val="24"/>
      <w:szCs w:val="24"/>
      <w:lang w:val="he-IL" w:eastAsia="he-IL"/>
    </w:rPr>
  </w:style>
  <w:style w:type="character" w:customStyle="1" w:styleId="a5">
    <w:name w:val="גוף טקסט תו"/>
    <w:basedOn w:val="a0"/>
    <w:link w:val="a4"/>
    <w:uiPriority w:val="1"/>
    <w:rsid w:val="003F7D20"/>
    <w:rPr>
      <w:rFonts w:ascii="Times New Roman" w:eastAsia="Times New Roman" w:hAnsi="Times New Roman" w:cs="Times New Roman"/>
      <w:sz w:val="24"/>
      <w:szCs w:val="24"/>
      <w:lang w:val="he-IL" w:eastAsia="he-IL"/>
    </w:rPr>
  </w:style>
  <w:style w:type="paragraph" w:styleId="a6">
    <w:name w:val="header"/>
    <w:basedOn w:val="a"/>
    <w:link w:val="a7"/>
    <w:uiPriority w:val="99"/>
    <w:unhideWhenUsed/>
    <w:rsid w:val="00FC7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C79EF"/>
  </w:style>
  <w:style w:type="paragraph" w:styleId="a8">
    <w:name w:val="footer"/>
    <w:basedOn w:val="a"/>
    <w:link w:val="a9"/>
    <w:uiPriority w:val="99"/>
    <w:unhideWhenUsed/>
    <w:rsid w:val="00FC7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C79EF"/>
  </w:style>
  <w:style w:type="paragraph" w:styleId="aa">
    <w:name w:val="List Paragraph"/>
    <w:basedOn w:val="a"/>
    <w:uiPriority w:val="34"/>
    <w:qFormat/>
    <w:rsid w:val="00E4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5</cp:revision>
  <dcterms:created xsi:type="dcterms:W3CDTF">2019-09-14T19:45:00Z</dcterms:created>
  <dcterms:modified xsi:type="dcterms:W3CDTF">2019-10-20T20:53:00Z</dcterms:modified>
</cp:coreProperties>
</file>